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05C" w:rsidRDefault="00AE105C"/>
    <w:p w:rsidR="00E4277F" w:rsidRPr="0014550B" w:rsidRDefault="00E4277F" w:rsidP="008179AA">
      <w:pPr>
        <w:pStyle w:val="2"/>
        <w:spacing w:line="540" w:lineRule="exact"/>
        <w:jc w:val="center"/>
        <w:rPr>
          <w:rFonts w:ascii="標楷體" w:eastAsia="標楷體" w:hAnsi="標楷體"/>
          <w:sz w:val="32"/>
          <w:szCs w:val="32"/>
        </w:rPr>
      </w:pPr>
      <w:r w:rsidRPr="0014550B">
        <w:rPr>
          <w:rFonts w:ascii="標楷體" w:eastAsia="標楷體" w:hAnsi="標楷體" w:hint="eastAsia"/>
          <w:sz w:val="32"/>
          <w:szCs w:val="32"/>
        </w:rPr>
        <w:t>國立中山大學工學院重點支援</w:t>
      </w:r>
      <w:proofErr w:type="gramStart"/>
      <w:r w:rsidRPr="0014550B">
        <w:rPr>
          <w:rFonts w:ascii="標楷體" w:eastAsia="標楷體" w:hAnsi="標楷體" w:hint="eastAsia"/>
          <w:sz w:val="32"/>
          <w:szCs w:val="32"/>
        </w:rPr>
        <w:t>圖儀費</w:t>
      </w:r>
      <w:proofErr w:type="gramEnd"/>
      <w:r w:rsidRPr="0014550B">
        <w:rPr>
          <w:rFonts w:ascii="標楷體" w:eastAsia="標楷體" w:hAnsi="標楷體" w:hint="eastAsia"/>
          <w:sz w:val="32"/>
          <w:szCs w:val="32"/>
        </w:rPr>
        <w:t>補助款之申請與審查之相關規定</w:t>
      </w:r>
    </w:p>
    <w:p w:rsidR="00E4277F" w:rsidRPr="007A70BA" w:rsidRDefault="00E4277F" w:rsidP="008179AA">
      <w:pPr>
        <w:spacing w:line="320" w:lineRule="exact"/>
        <w:ind w:firstLineChars="2126" w:firstLine="4252"/>
        <w:rPr>
          <w:rFonts w:eastAsia="標楷體"/>
          <w:sz w:val="20"/>
          <w:szCs w:val="20"/>
        </w:rPr>
      </w:pPr>
      <w:r w:rsidRPr="007A70BA">
        <w:rPr>
          <w:rFonts w:eastAsia="標楷體" w:hint="eastAsia"/>
          <w:sz w:val="20"/>
          <w:szCs w:val="20"/>
        </w:rPr>
        <w:t>91</w:t>
      </w:r>
      <w:r w:rsidRPr="007A70BA">
        <w:rPr>
          <w:rFonts w:eastAsia="標楷體" w:hint="eastAsia"/>
          <w:sz w:val="20"/>
          <w:szCs w:val="20"/>
        </w:rPr>
        <w:t>學年度第</w:t>
      </w:r>
      <w:r w:rsidRPr="007A70BA">
        <w:rPr>
          <w:rFonts w:eastAsia="標楷體" w:hint="eastAsia"/>
          <w:sz w:val="20"/>
          <w:szCs w:val="20"/>
        </w:rPr>
        <w:t>2</w:t>
      </w:r>
      <w:r w:rsidRPr="007A70BA">
        <w:rPr>
          <w:rFonts w:eastAsia="標楷體" w:hint="eastAsia"/>
          <w:sz w:val="20"/>
          <w:szCs w:val="20"/>
        </w:rPr>
        <w:t>次學術審議委員會會議修正通過</w:t>
      </w:r>
    </w:p>
    <w:p w:rsidR="00E4277F" w:rsidRDefault="00E4277F" w:rsidP="008179AA">
      <w:pPr>
        <w:spacing w:line="320" w:lineRule="exact"/>
        <w:ind w:firstLineChars="2126" w:firstLine="4252"/>
        <w:rPr>
          <w:rFonts w:eastAsia="標楷體"/>
          <w:sz w:val="20"/>
          <w:szCs w:val="20"/>
        </w:rPr>
      </w:pPr>
      <w:r w:rsidRPr="007A70BA">
        <w:rPr>
          <w:rFonts w:eastAsia="標楷體" w:hint="eastAsia"/>
          <w:sz w:val="20"/>
          <w:szCs w:val="20"/>
        </w:rPr>
        <w:t>94</w:t>
      </w:r>
      <w:r w:rsidRPr="007A70BA">
        <w:rPr>
          <w:rFonts w:eastAsia="標楷體" w:hint="eastAsia"/>
          <w:sz w:val="20"/>
          <w:szCs w:val="20"/>
        </w:rPr>
        <w:t>學年度第</w:t>
      </w:r>
      <w:r w:rsidRPr="007A70BA">
        <w:rPr>
          <w:rFonts w:eastAsia="標楷體" w:hint="eastAsia"/>
          <w:sz w:val="20"/>
          <w:szCs w:val="20"/>
        </w:rPr>
        <w:t>2</w:t>
      </w:r>
      <w:r w:rsidRPr="007A70BA">
        <w:rPr>
          <w:rFonts w:eastAsia="標楷體" w:hint="eastAsia"/>
          <w:sz w:val="20"/>
          <w:szCs w:val="20"/>
        </w:rPr>
        <w:t>次學術審議委員會會議修正通過</w:t>
      </w:r>
    </w:p>
    <w:p w:rsidR="00182700" w:rsidRPr="007A70BA" w:rsidRDefault="00182700" w:rsidP="008179AA">
      <w:pPr>
        <w:spacing w:line="320" w:lineRule="exact"/>
        <w:ind w:firstLineChars="2126" w:firstLine="4252"/>
        <w:rPr>
          <w:rFonts w:eastAsia="標楷體"/>
          <w:sz w:val="20"/>
          <w:szCs w:val="20"/>
        </w:rPr>
      </w:pPr>
      <w:r>
        <w:rPr>
          <w:rFonts w:eastAsia="標楷體"/>
          <w:sz w:val="20"/>
          <w:szCs w:val="20"/>
        </w:rPr>
        <w:t>113</w:t>
      </w:r>
      <w:r w:rsidR="00C972CA">
        <w:rPr>
          <w:rFonts w:eastAsia="標楷體" w:hint="eastAsia"/>
          <w:sz w:val="20"/>
          <w:szCs w:val="20"/>
        </w:rPr>
        <w:t>.</w:t>
      </w:r>
      <w:r>
        <w:rPr>
          <w:rFonts w:eastAsia="標楷體" w:hint="eastAsia"/>
          <w:sz w:val="20"/>
          <w:szCs w:val="20"/>
        </w:rPr>
        <w:t>1</w:t>
      </w:r>
      <w:r w:rsidR="00C972CA">
        <w:rPr>
          <w:rFonts w:eastAsia="標楷體" w:hint="eastAsia"/>
          <w:sz w:val="20"/>
          <w:szCs w:val="20"/>
        </w:rPr>
        <w:t>.</w:t>
      </w:r>
      <w:r>
        <w:rPr>
          <w:rFonts w:eastAsia="標楷體" w:hint="eastAsia"/>
          <w:sz w:val="20"/>
          <w:szCs w:val="20"/>
        </w:rPr>
        <w:t>2</w:t>
      </w:r>
      <w:r>
        <w:rPr>
          <w:rFonts w:eastAsia="標楷體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本院</w:t>
      </w:r>
      <w:r>
        <w:rPr>
          <w:rFonts w:eastAsia="標楷體" w:hint="eastAsia"/>
          <w:sz w:val="20"/>
          <w:szCs w:val="20"/>
        </w:rPr>
        <w:t>1</w:t>
      </w:r>
      <w:r>
        <w:rPr>
          <w:rFonts w:eastAsia="標楷體"/>
          <w:sz w:val="20"/>
          <w:szCs w:val="20"/>
        </w:rPr>
        <w:t>12</w:t>
      </w:r>
      <w:r>
        <w:rPr>
          <w:rFonts w:eastAsia="標楷體" w:hint="eastAsia"/>
          <w:sz w:val="20"/>
          <w:szCs w:val="20"/>
        </w:rPr>
        <w:t>學年度</w:t>
      </w:r>
      <w:r w:rsidR="00C972CA">
        <w:rPr>
          <w:rFonts w:eastAsia="標楷體" w:hint="eastAsia"/>
          <w:sz w:val="20"/>
          <w:szCs w:val="20"/>
        </w:rPr>
        <w:t>第</w:t>
      </w:r>
      <w:r w:rsidR="00C972CA">
        <w:rPr>
          <w:rFonts w:eastAsia="標楷體"/>
          <w:sz w:val="20"/>
          <w:szCs w:val="20"/>
        </w:rPr>
        <w:t>3</w:t>
      </w:r>
      <w:r>
        <w:rPr>
          <w:rFonts w:eastAsia="標楷體" w:hint="eastAsia"/>
          <w:sz w:val="20"/>
          <w:szCs w:val="20"/>
        </w:rPr>
        <w:t>次主管會議通過</w:t>
      </w:r>
    </w:p>
    <w:p w:rsidR="00E4277F" w:rsidRDefault="00E4277F" w:rsidP="00E4277F">
      <w:pPr>
        <w:spacing w:beforeLines="50" w:before="180" w:afterLines="50" w:after="180" w:line="500" w:lineRule="exact"/>
        <w:ind w:right="124" w:firstLine="180"/>
        <w:rPr>
          <w:rFonts w:eastAsia="標楷體"/>
          <w:sz w:val="28"/>
        </w:rPr>
      </w:pPr>
      <w:r>
        <w:rPr>
          <w:rFonts w:eastAsia="標楷體" w:hint="eastAsia"/>
          <w:sz w:val="28"/>
        </w:rPr>
        <w:t>一、本院重點支援</w:t>
      </w:r>
      <w:proofErr w:type="gramStart"/>
      <w:r>
        <w:rPr>
          <w:rFonts w:eastAsia="標楷體" w:hint="eastAsia"/>
          <w:sz w:val="28"/>
        </w:rPr>
        <w:t>圖儀費</w:t>
      </w:r>
      <w:proofErr w:type="gramEnd"/>
      <w:r>
        <w:rPr>
          <w:rFonts w:eastAsia="標楷體" w:hint="eastAsia"/>
          <w:sz w:val="28"/>
        </w:rPr>
        <w:t>補助之方向：</w:t>
      </w:r>
    </w:p>
    <w:p w:rsidR="00E4277F" w:rsidRPr="001967F3" w:rsidRDefault="00E4277F" w:rsidP="00E4277F">
      <w:pPr>
        <w:spacing w:afterLines="50" w:after="180" w:line="500" w:lineRule="exact"/>
        <w:ind w:left="1078" w:right="124" w:hangingChars="385" w:hanging="1078"/>
        <w:jc w:val="both"/>
        <w:rPr>
          <w:rFonts w:eastAsia="標楷體"/>
          <w:sz w:val="28"/>
        </w:rPr>
      </w:pPr>
      <w:r>
        <w:rPr>
          <w:rFonts w:eastAsia="標楷體"/>
          <w:sz w:val="28"/>
        </w:rPr>
        <w:t xml:space="preserve">  </w:t>
      </w:r>
      <w:r w:rsidRPr="001967F3">
        <w:rPr>
          <w:rFonts w:eastAsia="標楷體"/>
          <w:sz w:val="28"/>
        </w:rPr>
        <w:t xml:space="preserve">  </w:t>
      </w:r>
      <w:r w:rsidRPr="001967F3">
        <w:rPr>
          <w:rFonts w:eastAsia="標楷體" w:hint="eastAsia"/>
          <w:sz w:val="28"/>
        </w:rPr>
        <w:t>A</w:t>
      </w:r>
      <w:r w:rsidRPr="001967F3">
        <w:rPr>
          <w:rFonts w:eastAsia="標楷體" w:hint="eastAsia"/>
          <w:sz w:val="28"/>
        </w:rPr>
        <w:t>、</w:t>
      </w:r>
      <w:r w:rsidRPr="001967F3">
        <w:rPr>
          <w:rFonts w:eastAsia="標楷體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51EFC" wp14:editId="62625A79">
                <wp:simplePos x="0" y="0"/>
                <wp:positionH relativeFrom="column">
                  <wp:posOffset>82550</wp:posOffset>
                </wp:positionH>
                <wp:positionV relativeFrom="paragraph">
                  <wp:posOffset>-5029200</wp:posOffset>
                </wp:positionV>
                <wp:extent cx="228600" cy="0"/>
                <wp:effectExtent l="13335" t="55245" r="15240" b="59055"/>
                <wp:wrapNone/>
                <wp:docPr id="2" name="直線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C9DFA" id="直線接點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5pt,-396pt" to="24.5pt,-3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">
                <v:stroke endarrow="block"/>
              </v:line>
            </w:pict>
          </mc:Fallback>
        </mc:AlternateContent>
      </w:r>
      <w:r w:rsidRPr="001967F3">
        <w:rPr>
          <w:rFonts w:eastAsia="標楷體" w:hint="eastAsia"/>
          <w:sz w:val="28"/>
        </w:rPr>
        <w:t>計畫之性質－優先次序為：先導型實驗室（含貴儀中心）及產學計畫→整合型計畫（以總計畫在院內為主）及教育部改進計畫→特色研究計畫→績優教師研究計畫。</w:t>
      </w:r>
    </w:p>
    <w:p w:rsidR="00E4277F" w:rsidRPr="001967F3" w:rsidRDefault="00E4277F" w:rsidP="00E4277F">
      <w:pPr>
        <w:pStyle w:val="a7"/>
        <w:ind w:right="124"/>
      </w:pPr>
      <w:r w:rsidRPr="001967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35C53F" wp14:editId="13DCF44E">
                <wp:simplePos x="0" y="0"/>
                <wp:positionH relativeFrom="column">
                  <wp:posOffset>82550</wp:posOffset>
                </wp:positionH>
                <wp:positionV relativeFrom="paragraph">
                  <wp:posOffset>-4229100</wp:posOffset>
                </wp:positionV>
                <wp:extent cx="228600" cy="0"/>
                <wp:effectExtent l="13335" t="55245" r="15240" b="59055"/>
                <wp:wrapNone/>
                <wp:docPr id="1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2A8C9" id="直線接點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5pt,-333pt" to="24.5pt,-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">
                <v:stroke endarrow="block"/>
              </v:line>
            </w:pict>
          </mc:Fallback>
        </mc:AlternateContent>
      </w:r>
      <w:r w:rsidRPr="001967F3">
        <w:rPr>
          <w:rFonts w:hint="eastAsia"/>
        </w:rPr>
        <w:t>B</w:t>
      </w:r>
      <w:r w:rsidRPr="001967F3">
        <w:rPr>
          <w:rFonts w:hint="eastAsia"/>
        </w:rPr>
        <w:t>、計畫之整合性－優先次序為：跨院校的計畫→跨系所的計畫→本系所的計畫。</w:t>
      </w:r>
    </w:p>
    <w:p w:rsidR="00E4277F" w:rsidRPr="001967F3" w:rsidRDefault="00E4277F" w:rsidP="00E4277F">
      <w:pPr>
        <w:spacing w:afterLines="50" w:after="180" w:line="500" w:lineRule="exact"/>
        <w:ind w:right="124" w:firstLineChars="200" w:firstLine="560"/>
        <w:rPr>
          <w:rFonts w:eastAsia="標楷體"/>
          <w:sz w:val="28"/>
        </w:rPr>
      </w:pPr>
      <w:r w:rsidRPr="001967F3">
        <w:rPr>
          <w:rFonts w:eastAsia="標楷體" w:hint="eastAsia"/>
          <w:sz w:val="28"/>
        </w:rPr>
        <w:t>C</w:t>
      </w:r>
      <w:r w:rsidRPr="001967F3">
        <w:rPr>
          <w:rFonts w:eastAsia="標楷體" w:hint="eastAsia"/>
          <w:sz w:val="28"/>
        </w:rPr>
        <w:t>、儀器設備之共用</w:t>
      </w:r>
      <w:proofErr w:type="gramStart"/>
      <w:r w:rsidRPr="001967F3">
        <w:rPr>
          <w:rFonts w:eastAsia="標楷體" w:hint="eastAsia"/>
          <w:sz w:val="28"/>
        </w:rPr>
        <w:t>性－以補助</w:t>
      </w:r>
      <w:proofErr w:type="gramEnd"/>
      <w:r w:rsidRPr="001967F3">
        <w:rPr>
          <w:rFonts w:eastAsia="標楷體" w:hint="eastAsia"/>
          <w:sz w:val="28"/>
        </w:rPr>
        <w:t>開放使用之儀器設備為原則。</w:t>
      </w:r>
    </w:p>
    <w:p w:rsidR="00E4277F" w:rsidRPr="001967F3" w:rsidRDefault="00E4277F" w:rsidP="00E4277F">
      <w:pPr>
        <w:spacing w:afterLines="50" w:after="180" w:line="500" w:lineRule="exact"/>
        <w:ind w:right="124" w:firstLineChars="200" w:firstLine="560"/>
        <w:rPr>
          <w:rFonts w:eastAsia="標楷體"/>
          <w:sz w:val="28"/>
        </w:rPr>
      </w:pPr>
      <w:r w:rsidRPr="001967F3">
        <w:rPr>
          <w:rFonts w:eastAsia="標楷體" w:hint="eastAsia"/>
          <w:sz w:val="28"/>
        </w:rPr>
        <w:t>D</w:t>
      </w:r>
      <w:r w:rsidRPr="001967F3">
        <w:rPr>
          <w:rFonts w:eastAsia="標楷體" w:hint="eastAsia"/>
          <w:sz w:val="28"/>
        </w:rPr>
        <w:t>、規劃之</w:t>
      </w:r>
      <w:proofErr w:type="gramStart"/>
      <w:r w:rsidRPr="001967F3">
        <w:rPr>
          <w:rFonts w:eastAsia="標楷體" w:hint="eastAsia"/>
          <w:sz w:val="28"/>
        </w:rPr>
        <w:t>完整性－以長期</w:t>
      </w:r>
      <w:proofErr w:type="gramEnd"/>
      <w:r w:rsidRPr="001967F3">
        <w:rPr>
          <w:rFonts w:eastAsia="標楷體" w:hint="eastAsia"/>
          <w:sz w:val="28"/>
        </w:rPr>
        <w:t>計畫為優先。</w:t>
      </w:r>
    </w:p>
    <w:p w:rsidR="00E4277F" w:rsidRPr="001967F3" w:rsidRDefault="00E4277F" w:rsidP="007B2FBC">
      <w:pPr>
        <w:pStyle w:val="a7"/>
        <w:ind w:right="124"/>
      </w:pPr>
      <w:r w:rsidRPr="001967F3">
        <w:rPr>
          <w:rFonts w:hint="eastAsia"/>
        </w:rPr>
        <w:t>E</w:t>
      </w:r>
      <w:r w:rsidRPr="001967F3">
        <w:rPr>
          <w:rFonts w:hint="eastAsia"/>
        </w:rPr>
        <w:t>、特色研究計畫，需至少含</w:t>
      </w:r>
      <w:r w:rsidRPr="001967F3">
        <w:rPr>
          <w:rFonts w:hint="eastAsia"/>
        </w:rPr>
        <w:t>3</w:t>
      </w:r>
      <w:r w:rsidRPr="001967F3">
        <w:rPr>
          <w:rFonts w:hint="eastAsia"/>
        </w:rPr>
        <w:t>位本院教師針對相同研究議題進行分工合作。</w:t>
      </w:r>
    </w:p>
    <w:p w:rsidR="00E4277F" w:rsidRDefault="00E4277F" w:rsidP="00E4277F">
      <w:pPr>
        <w:pStyle w:val="a5"/>
        <w:spacing w:afterLines="50" w:after="180" w:line="500" w:lineRule="exact"/>
        <w:ind w:leftChars="75" w:left="718" w:right="124" w:hangingChars="192" w:hanging="538"/>
      </w:pPr>
      <w:r>
        <w:rPr>
          <w:rFonts w:hint="eastAsia"/>
        </w:rPr>
        <w:t>二、申請本院重點支援</w:t>
      </w:r>
      <w:proofErr w:type="gramStart"/>
      <w:r>
        <w:rPr>
          <w:rFonts w:hint="eastAsia"/>
        </w:rPr>
        <w:t>圖儀費</w:t>
      </w:r>
      <w:proofErr w:type="gramEnd"/>
      <w:r>
        <w:rPr>
          <w:rFonts w:hint="eastAsia"/>
        </w:rPr>
        <w:t>補助之案件，須有系所之配合款且經系所主管簽章確認後方得提出，院配合額度以不超過系所補助額度為原則，獲補助者應優先使用系所配合款，不足之數再使用院補助款。</w:t>
      </w:r>
    </w:p>
    <w:p w:rsidR="00E4277F" w:rsidRDefault="00E4277F" w:rsidP="00E4277F">
      <w:pPr>
        <w:pStyle w:val="a5"/>
        <w:spacing w:afterLines="50" w:after="180" w:line="500" w:lineRule="exact"/>
        <w:ind w:leftChars="75" w:left="718" w:right="124" w:hangingChars="192" w:hanging="538"/>
      </w:pPr>
      <w:r>
        <w:rPr>
          <w:rFonts w:hint="eastAsia"/>
        </w:rPr>
        <w:t>三、若前兩年內已獲本院重點支援</w:t>
      </w:r>
      <w:proofErr w:type="gramStart"/>
      <w:r>
        <w:rPr>
          <w:rFonts w:hint="eastAsia"/>
        </w:rPr>
        <w:t>圖儀費</w:t>
      </w:r>
      <w:proofErr w:type="gramEnd"/>
      <w:r>
        <w:rPr>
          <w:rFonts w:hint="eastAsia"/>
        </w:rPr>
        <w:t>補助者，申請時須檢附績效報告一至兩頁，且其補助次序往後調，須</w:t>
      </w:r>
      <w:proofErr w:type="gramStart"/>
      <w:r>
        <w:rPr>
          <w:rFonts w:hint="eastAsia"/>
        </w:rPr>
        <w:t>俟</w:t>
      </w:r>
      <w:proofErr w:type="gramEnd"/>
      <w:r>
        <w:rPr>
          <w:rFonts w:hint="eastAsia"/>
        </w:rPr>
        <w:t>本年度新申請案件之補助經費有結餘時，再考量已獲補助者。</w:t>
      </w:r>
      <w:bookmarkStart w:id="0" w:name="_GoBack"/>
      <w:bookmarkEnd w:id="0"/>
    </w:p>
    <w:p w:rsidR="00E4277F" w:rsidRPr="003710F5" w:rsidRDefault="00E4277F" w:rsidP="00E4277F">
      <w:pPr>
        <w:spacing w:afterLines="50" w:after="180" w:line="500" w:lineRule="exact"/>
        <w:ind w:leftChars="75" w:left="718" w:right="124" w:hangingChars="192" w:hanging="538"/>
        <w:rPr>
          <w:rFonts w:eastAsia="標楷體"/>
          <w:sz w:val="28"/>
        </w:rPr>
      </w:pPr>
      <w:r w:rsidRPr="003710F5">
        <w:rPr>
          <w:rFonts w:eastAsia="標楷體" w:hint="eastAsia"/>
          <w:sz w:val="28"/>
        </w:rPr>
        <w:t>四、另</w:t>
      </w:r>
      <w:r w:rsidRPr="003710F5">
        <w:rPr>
          <w:rFonts w:eastAsia="標楷體" w:hint="eastAsia"/>
          <w:sz w:val="28"/>
          <w:szCs w:val="28"/>
        </w:rPr>
        <w:t>本院新進</w:t>
      </w:r>
      <w:r w:rsidR="00182700" w:rsidRPr="00182700">
        <w:rPr>
          <w:rFonts w:eastAsia="標楷體" w:hint="eastAsia"/>
          <w:color w:val="FF0000"/>
          <w:sz w:val="28"/>
          <w:szCs w:val="28"/>
          <w:u w:val="single"/>
        </w:rPr>
        <w:t>編制內</w:t>
      </w:r>
      <w:r w:rsidRPr="003710F5">
        <w:rPr>
          <w:rFonts w:eastAsia="標楷體" w:hint="eastAsia"/>
          <w:sz w:val="28"/>
          <w:szCs w:val="28"/>
        </w:rPr>
        <w:t>專任教師到校</w:t>
      </w:r>
      <w:r w:rsidRPr="003710F5">
        <w:rPr>
          <w:rFonts w:eastAsia="標楷體" w:hint="eastAsia"/>
          <w:sz w:val="28"/>
          <w:szCs w:val="28"/>
        </w:rPr>
        <w:t>1</w:t>
      </w:r>
      <w:r w:rsidRPr="003710F5">
        <w:rPr>
          <w:rFonts w:eastAsia="標楷體" w:hint="eastAsia"/>
          <w:sz w:val="28"/>
          <w:szCs w:val="28"/>
        </w:rPr>
        <w:t>年內均可申請補助一次，</w:t>
      </w:r>
      <w:r w:rsidR="00182700">
        <w:rPr>
          <w:rFonts w:eastAsia="標楷體" w:hint="eastAsia"/>
          <w:sz w:val="28"/>
          <w:szCs w:val="28"/>
        </w:rPr>
        <w:t>`</w:t>
      </w:r>
      <w:r w:rsidRPr="003710F5">
        <w:rPr>
          <w:rFonts w:eastAsia="標楷體" w:hint="eastAsia"/>
          <w:sz w:val="28"/>
          <w:szCs w:val="28"/>
        </w:rPr>
        <w:t>每名新台幣</w:t>
      </w:r>
      <w:r w:rsidRPr="003710F5">
        <w:rPr>
          <w:rFonts w:eastAsia="標楷體"/>
          <w:color w:val="FF0000"/>
          <w:sz w:val="28"/>
          <w:szCs w:val="28"/>
          <w:u w:val="single"/>
        </w:rPr>
        <w:t>30</w:t>
      </w:r>
      <w:r w:rsidRPr="003710F5">
        <w:rPr>
          <w:rFonts w:eastAsia="標楷體" w:hint="eastAsia"/>
          <w:sz w:val="28"/>
          <w:szCs w:val="28"/>
        </w:rPr>
        <w:t>萬元，同時由獲得補助教師所任職之單位等值以上補助，用於採購儀器設備。</w:t>
      </w:r>
    </w:p>
    <w:p w:rsidR="00E4277F" w:rsidRDefault="00E4277F" w:rsidP="00E4277F">
      <w:pPr>
        <w:spacing w:afterLines="50" w:after="180" w:line="500" w:lineRule="exact"/>
        <w:ind w:leftChars="75" w:left="718" w:right="124" w:hangingChars="192" w:hanging="538"/>
        <w:rPr>
          <w:rFonts w:eastAsia="標楷體"/>
          <w:sz w:val="28"/>
        </w:rPr>
      </w:pPr>
      <w:r>
        <w:rPr>
          <w:rFonts w:eastAsia="標楷體" w:hint="eastAsia"/>
          <w:sz w:val="28"/>
        </w:rPr>
        <w:t>五、本委員會委員不得申請本院重點支援</w:t>
      </w:r>
      <w:proofErr w:type="gramStart"/>
      <w:r>
        <w:rPr>
          <w:rFonts w:eastAsia="標楷體" w:hint="eastAsia"/>
          <w:sz w:val="28"/>
        </w:rPr>
        <w:t>圖儀費</w:t>
      </w:r>
      <w:proofErr w:type="gramEnd"/>
      <w:r>
        <w:rPr>
          <w:rFonts w:eastAsia="標楷體" w:hint="eastAsia"/>
          <w:sz w:val="28"/>
        </w:rPr>
        <w:t>補助款，以示公平。</w:t>
      </w:r>
    </w:p>
    <w:p w:rsidR="00E4277F" w:rsidRDefault="00E4277F" w:rsidP="00E4277F">
      <w:pPr>
        <w:spacing w:afterLines="50" w:after="180" w:line="500" w:lineRule="exact"/>
        <w:ind w:leftChars="75" w:left="718" w:right="124" w:hangingChars="192" w:hanging="538"/>
        <w:rPr>
          <w:rFonts w:eastAsia="標楷體"/>
          <w:color w:val="FF0000"/>
          <w:sz w:val="28"/>
          <w:u w:val="single"/>
        </w:rPr>
      </w:pPr>
      <w:r>
        <w:rPr>
          <w:rFonts w:eastAsia="標楷體" w:hint="eastAsia"/>
          <w:sz w:val="28"/>
        </w:rPr>
        <w:t>六、</w:t>
      </w:r>
      <w:r w:rsidRPr="003710F5">
        <w:rPr>
          <w:rFonts w:eastAsia="標楷體" w:hint="eastAsia"/>
          <w:color w:val="FF0000"/>
          <w:sz w:val="28"/>
          <w:u w:val="single"/>
        </w:rPr>
        <w:t>本規定經本院主管會議通過後實施，修正時亦同。</w:t>
      </w:r>
    </w:p>
    <w:sectPr w:rsidR="00E4277F" w:rsidSect="0014550B">
      <w:pgSz w:w="11906" w:h="16838"/>
      <w:pgMar w:top="284" w:right="1800" w:bottom="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D6B12"/>
    <w:multiLevelType w:val="hybridMultilevel"/>
    <w:tmpl w:val="A3162C8C"/>
    <w:lvl w:ilvl="0" w:tplc="0409000F">
      <w:start w:val="1"/>
      <w:numFmt w:val="decimal"/>
      <w:lvlText w:val="%1."/>
      <w:lvlJc w:val="left"/>
      <w:pPr>
        <w:ind w:left="147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abstractNum w:abstractNumId="1" w15:restartNumberingAfterBreak="0">
    <w:nsid w:val="37184731"/>
    <w:multiLevelType w:val="hybridMultilevel"/>
    <w:tmpl w:val="88744BB4"/>
    <w:lvl w:ilvl="0" w:tplc="912E1470">
      <w:start w:val="1"/>
      <w:numFmt w:val="decimal"/>
      <w:lvlText w:val="%1."/>
      <w:lvlJc w:val="left"/>
      <w:pPr>
        <w:ind w:left="1351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2E"/>
    <w:rsid w:val="00045990"/>
    <w:rsid w:val="0014550B"/>
    <w:rsid w:val="00182700"/>
    <w:rsid w:val="001967F3"/>
    <w:rsid w:val="00204B2E"/>
    <w:rsid w:val="004A07F7"/>
    <w:rsid w:val="007B2FBC"/>
    <w:rsid w:val="008179AA"/>
    <w:rsid w:val="008E1829"/>
    <w:rsid w:val="00AE105C"/>
    <w:rsid w:val="00C972CA"/>
    <w:rsid w:val="00D50806"/>
    <w:rsid w:val="00E4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B7F8C2-C3CA-4149-A2CD-43D042AE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B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04B2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04B2E"/>
    <w:pPr>
      <w:ind w:leftChars="200" w:left="480"/>
    </w:pPr>
    <w:rPr>
      <w:rFonts w:ascii="Calibri" w:hAnsi="Calibri"/>
      <w:szCs w:val="22"/>
    </w:rPr>
  </w:style>
  <w:style w:type="paragraph" w:styleId="a5">
    <w:name w:val="Body Text"/>
    <w:basedOn w:val="a"/>
    <w:link w:val="a6"/>
    <w:rsid w:val="00E4277F"/>
    <w:rPr>
      <w:rFonts w:eastAsia="標楷體"/>
      <w:sz w:val="28"/>
    </w:rPr>
  </w:style>
  <w:style w:type="character" w:customStyle="1" w:styleId="a6">
    <w:name w:val="本文 字元"/>
    <w:basedOn w:val="a0"/>
    <w:link w:val="a5"/>
    <w:rsid w:val="00E4277F"/>
    <w:rPr>
      <w:rFonts w:ascii="Times New Roman" w:eastAsia="標楷體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E4277F"/>
    <w:pPr>
      <w:spacing w:afterLines="50" w:after="180" w:line="500" w:lineRule="exact"/>
      <w:ind w:leftChars="225" w:left="1080" w:hangingChars="193" w:hanging="540"/>
    </w:pPr>
    <w:rPr>
      <w:rFonts w:eastAsia="標楷體"/>
      <w:sz w:val="28"/>
    </w:rPr>
  </w:style>
  <w:style w:type="character" w:customStyle="1" w:styleId="a8">
    <w:name w:val="本文縮排 字元"/>
    <w:basedOn w:val="a0"/>
    <w:link w:val="a7"/>
    <w:rsid w:val="00E4277F"/>
    <w:rPr>
      <w:rFonts w:ascii="Times New Roman" w:eastAsia="標楷體" w:hAnsi="Times New Roman" w:cs="Times New Roman"/>
      <w:sz w:val="28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E4277F"/>
    <w:pPr>
      <w:spacing w:after="120" w:line="480" w:lineRule="auto"/>
    </w:pPr>
  </w:style>
  <w:style w:type="character" w:customStyle="1" w:styleId="20">
    <w:name w:val="本文 2 字元"/>
    <w:basedOn w:val="a0"/>
    <w:link w:val="2"/>
    <w:uiPriority w:val="99"/>
    <w:semiHidden/>
    <w:rsid w:val="00E4277F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2024-01-25T09:21:00Z</dcterms:created>
  <dcterms:modified xsi:type="dcterms:W3CDTF">2024-01-25T09:22:00Z</dcterms:modified>
</cp:coreProperties>
</file>