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14" w:rsidRPr="00BE0414" w:rsidRDefault="00BE0414" w:rsidP="00BE0414">
      <w:pPr>
        <w:jc w:val="center"/>
        <w:rPr>
          <w:b/>
          <w:sz w:val="40"/>
        </w:rPr>
      </w:pPr>
      <w:r w:rsidRPr="00BE0414">
        <w:rPr>
          <w:b/>
          <w:sz w:val="40"/>
        </w:rPr>
        <w:t>National Sun Yat-sen University</w:t>
      </w:r>
    </w:p>
    <w:p w:rsidR="00BE0414" w:rsidRDefault="00BE0414" w:rsidP="00BE0414"/>
    <w:p w:rsidR="00BE0414" w:rsidRPr="00BE0414" w:rsidRDefault="00BE0414" w:rsidP="00BE0414">
      <w:pPr>
        <w:spacing w:line="440" w:lineRule="exact"/>
        <w:jc w:val="center"/>
        <w:rPr>
          <w:b/>
          <w:sz w:val="32"/>
        </w:rPr>
      </w:pPr>
      <w:r w:rsidRPr="00BE0414">
        <w:rPr>
          <w:b/>
          <w:sz w:val="32"/>
        </w:rPr>
        <w:t xml:space="preserve">Directions for Selecting Representatives of the College of Engineering at the President Election Committee and the President Re-Election Committee </w:t>
      </w:r>
    </w:p>
    <w:p w:rsidR="00BE0414" w:rsidRPr="00956DF0" w:rsidRDefault="00BE0414" w:rsidP="00BE0414">
      <w:pPr>
        <w:jc w:val="center"/>
      </w:pPr>
    </w:p>
    <w:p w:rsidR="00BE0414" w:rsidRDefault="00BE0414" w:rsidP="00BE0414">
      <w:pPr>
        <w:jc w:val="right"/>
        <w:outlineLvl w:val="0"/>
        <w:rPr>
          <w:sz w:val="22"/>
          <w:szCs w:val="22"/>
        </w:rPr>
      </w:pPr>
      <w:r w:rsidRPr="00BE0414">
        <w:rPr>
          <w:sz w:val="22"/>
          <w:szCs w:val="22"/>
        </w:rPr>
        <w:t>Issued by the 5</w:t>
      </w:r>
      <w:r w:rsidRPr="00BE0414">
        <w:rPr>
          <w:sz w:val="22"/>
          <w:szCs w:val="22"/>
          <w:vertAlign w:val="superscript"/>
        </w:rPr>
        <w:t>th</w:t>
      </w:r>
      <w:r w:rsidRPr="00BE0414">
        <w:rPr>
          <w:sz w:val="22"/>
          <w:szCs w:val="22"/>
        </w:rPr>
        <w:t xml:space="preserve"> College General Meeting o</w:t>
      </w:r>
      <w:r>
        <w:rPr>
          <w:sz w:val="22"/>
          <w:szCs w:val="22"/>
        </w:rPr>
        <w:t>n June 15, 2007</w:t>
      </w:r>
    </w:p>
    <w:p w:rsidR="00BE0414" w:rsidRPr="00F63237" w:rsidRDefault="00BE0414" w:rsidP="00BE0414">
      <w:pPr>
        <w:jc w:val="right"/>
        <w:outlineLvl w:val="0"/>
        <w:rPr>
          <w:color w:val="FF0000"/>
          <w:sz w:val="22"/>
          <w:szCs w:val="22"/>
        </w:rPr>
      </w:pPr>
      <w:r w:rsidRPr="00F63237">
        <w:rPr>
          <w:color w:val="FF0000"/>
          <w:sz w:val="22"/>
          <w:szCs w:val="22"/>
        </w:rPr>
        <w:t>Revised at the 2nd faculty meeting for the academic year of 2015, October 7, 2015</w:t>
      </w:r>
    </w:p>
    <w:p w:rsidR="00BE0414" w:rsidRPr="00956DF0" w:rsidRDefault="00BE0414" w:rsidP="00BE0414"/>
    <w:p w:rsidR="00BE0414" w:rsidRPr="00BF6562" w:rsidRDefault="00BE0414" w:rsidP="00BF6562">
      <w:pPr>
        <w:pStyle w:val="ARTICLE"/>
        <w:spacing w:after="180"/>
        <w:jc w:val="left"/>
      </w:pPr>
      <w:r w:rsidRPr="00BF6562">
        <w:t>The present guidelines are established in accordance with Articles 3 and 16 of the National Sun Yat-sen University’s (hereafter referred to as “the University”) “Regulations for President Election, Reelection, and Resignation.”</w:t>
      </w:r>
    </w:p>
    <w:p w:rsidR="00BE0414" w:rsidRPr="00F63237" w:rsidRDefault="00BE0414" w:rsidP="00BF6562">
      <w:pPr>
        <w:pStyle w:val="ARTICLE"/>
        <w:spacing w:afterLines="0" w:after="0" w:line="360" w:lineRule="exact"/>
        <w:jc w:val="left"/>
        <w:rPr>
          <w:color w:val="FF0000"/>
        </w:rPr>
      </w:pPr>
      <w:r w:rsidRPr="00F63237">
        <w:rPr>
          <w:color w:val="FF0000"/>
        </w:rPr>
        <w:t xml:space="preserve">The college may select the members of the president election committee according to the directions for electing or re-electing the president or approving of the resignation of the president: </w:t>
      </w:r>
    </w:p>
    <w:p w:rsidR="00BE0414" w:rsidRPr="00F63237" w:rsidRDefault="00BE0414" w:rsidP="00BF6562">
      <w:pPr>
        <w:pStyle w:val="ARTICLE"/>
        <w:numPr>
          <w:ilvl w:val="0"/>
          <w:numId w:val="0"/>
        </w:numPr>
        <w:spacing w:afterLines="0" w:after="0" w:line="360" w:lineRule="exact"/>
        <w:ind w:left="720"/>
        <w:jc w:val="left"/>
        <w:rPr>
          <w:color w:val="FF0000"/>
        </w:rPr>
      </w:pPr>
      <w:r w:rsidRPr="00F63237">
        <w:rPr>
          <w:color w:val="FF0000"/>
        </w:rPr>
        <w:t>(1) Two or three teachers are selected as representatives. The numbers of men and women should be at least 1/3 of the total number of candidates separately.</w:t>
      </w:r>
    </w:p>
    <w:p w:rsidR="00BE0414" w:rsidRPr="00F63237" w:rsidRDefault="00BE0414" w:rsidP="00BF6562">
      <w:pPr>
        <w:pStyle w:val="ARTICLE"/>
        <w:numPr>
          <w:ilvl w:val="0"/>
          <w:numId w:val="0"/>
        </w:numPr>
        <w:spacing w:afterLines="0" w:after="0" w:line="360" w:lineRule="exact"/>
        <w:ind w:left="720"/>
        <w:jc w:val="left"/>
        <w:rPr>
          <w:color w:val="FF0000"/>
        </w:rPr>
      </w:pPr>
      <w:r w:rsidRPr="00F63237">
        <w:rPr>
          <w:color w:val="FF0000"/>
        </w:rPr>
        <w:t xml:space="preserve">(2) Two or three alumni are selected as representatives. The numbers of men and women should be at least 1/3 of the total number of candidates separately. </w:t>
      </w:r>
    </w:p>
    <w:p w:rsidR="00BE0414" w:rsidRPr="00F63237" w:rsidRDefault="00BE0414" w:rsidP="00BF6562">
      <w:pPr>
        <w:pStyle w:val="ARTICLE"/>
        <w:numPr>
          <w:ilvl w:val="0"/>
          <w:numId w:val="0"/>
        </w:numPr>
        <w:spacing w:afterLines="0" w:after="0" w:line="360" w:lineRule="exact"/>
        <w:ind w:left="720"/>
        <w:jc w:val="left"/>
        <w:rPr>
          <w:color w:val="FF0000"/>
        </w:rPr>
      </w:pPr>
      <w:r w:rsidRPr="00F63237">
        <w:rPr>
          <w:color w:val="FF0000"/>
        </w:rPr>
        <w:t>(3) Two or three highly regarded people in the society are selected as representatives. The numbers of men and women should be at least 1/3 of the total number of candidates separately.</w:t>
      </w:r>
    </w:p>
    <w:p w:rsidR="00BF6562" w:rsidRPr="00F63237" w:rsidRDefault="00BE0414" w:rsidP="00BF6562">
      <w:pPr>
        <w:pStyle w:val="ARTICLE"/>
        <w:numPr>
          <w:ilvl w:val="0"/>
          <w:numId w:val="0"/>
        </w:numPr>
        <w:spacing w:after="180"/>
        <w:ind w:left="720"/>
        <w:jc w:val="left"/>
        <w:rPr>
          <w:color w:val="FF0000"/>
        </w:rPr>
      </w:pPr>
      <w:r w:rsidRPr="00F63237">
        <w:rPr>
          <w:color w:val="FF0000"/>
        </w:rPr>
        <w:t xml:space="preserve">Teacher representatives are elected through the anonymous restricted method by all full-time teachers at the level of lecturer or higher in the college. Three teachers with the highest numbers of votes are selected as representatives. Various departments in the college of engineering first recommend one or two alumni and highly regarded people in the society separately; then, full-time teachers at the level of lecturer or higher in the college anonymously vote through the restricted method to elect three representatives for alumni and three for highly regarded people in the society. </w:t>
      </w:r>
    </w:p>
    <w:p w:rsidR="00BF6562" w:rsidRPr="00BF6562" w:rsidRDefault="00BF6562" w:rsidP="00BF6562">
      <w:pPr>
        <w:pStyle w:val="ARTICLE"/>
        <w:spacing w:after="180"/>
        <w:jc w:val="left"/>
      </w:pPr>
      <w:r w:rsidRPr="00BF6562">
        <w:t>When the university establishes the president re-election committee according to the directions for electing or re-electing the president and approving of the resignation of the president, the college selects a committee member, who is elected</w:t>
      </w:r>
      <w:r w:rsidRPr="00F63237">
        <w:rPr>
          <w:color w:val="FF0000"/>
        </w:rPr>
        <w:t xml:space="preserve"> through the anonymous restricted method</w:t>
      </w:r>
      <w:r w:rsidRPr="00BF6562">
        <w:t xml:space="preserve"> by all full-time teachers at the level of lecturer or higher in the college. Two alternative members are also determined according to the number of votes.</w:t>
      </w:r>
      <w:bookmarkStart w:id="0" w:name="_GoBack"/>
      <w:bookmarkEnd w:id="0"/>
    </w:p>
    <w:p w:rsidR="00BF6562" w:rsidRPr="00F63237" w:rsidRDefault="00BF6562" w:rsidP="00BF6562">
      <w:pPr>
        <w:pStyle w:val="ARTICLE"/>
        <w:spacing w:after="180"/>
        <w:jc w:val="left"/>
        <w:rPr>
          <w:color w:val="FF0000"/>
        </w:rPr>
      </w:pPr>
      <w:r w:rsidRPr="00F63237">
        <w:rPr>
          <w:color w:val="FF0000"/>
        </w:rPr>
        <w:lastRenderedPageBreak/>
        <w:t>The aforementioned voting-related matters are handled by the election committee in the college</w:t>
      </w:r>
    </w:p>
    <w:p w:rsidR="00CA58FD" w:rsidRPr="00BF6562" w:rsidRDefault="00BE0414" w:rsidP="00BF6562">
      <w:pPr>
        <w:pStyle w:val="ARTICLE"/>
        <w:spacing w:after="180"/>
        <w:jc w:val="left"/>
      </w:pPr>
      <w:r w:rsidRPr="00BF6562">
        <w:t>This set of guidelines shall be implemented following approvals of the College’s general meetings. The same procedure shall be carried out when amendments are to be made.</w:t>
      </w:r>
    </w:p>
    <w:sectPr w:rsidR="00CA58FD" w:rsidRPr="00BF65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4B" w:rsidRDefault="0016724B" w:rsidP="00F63237">
      <w:r>
        <w:separator/>
      </w:r>
    </w:p>
  </w:endnote>
  <w:endnote w:type="continuationSeparator" w:id="0">
    <w:p w:rsidR="0016724B" w:rsidRDefault="0016724B" w:rsidP="00F6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4B" w:rsidRDefault="0016724B" w:rsidP="00F63237">
      <w:r>
        <w:separator/>
      </w:r>
    </w:p>
  </w:footnote>
  <w:footnote w:type="continuationSeparator" w:id="0">
    <w:p w:rsidR="0016724B" w:rsidRDefault="0016724B" w:rsidP="00F6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4B17"/>
    <w:multiLevelType w:val="hybridMultilevel"/>
    <w:tmpl w:val="C8D8A524"/>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80A5E7B"/>
    <w:multiLevelType w:val="hybridMultilevel"/>
    <w:tmpl w:val="51C68CFC"/>
    <w:lvl w:ilvl="0" w:tplc="0409000F">
      <w:start w:val="1"/>
      <w:numFmt w:val="decimal"/>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14"/>
    <w:rsid w:val="0016724B"/>
    <w:rsid w:val="00BE0414"/>
    <w:rsid w:val="00BF6562"/>
    <w:rsid w:val="00CA58FD"/>
    <w:rsid w:val="00F63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7D5AC-AE19-43C7-99F0-CF5C60C0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4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3"/>
    <w:link w:val="ARTICLEChar"/>
    <w:qFormat/>
    <w:rsid w:val="00BE0414"/>
    <w:pPr>
      <w:widowControl/>
      <w:numPr>
        <w:numId w:val="1"/>
      </w:numPr>
      <w:spacing w:afterLines="50" w:after="120"/>
      <w:ind w:leftChars="0" w:left="0"/>
      <w:jc w:val="both"/>
    </w:pPr>
    <w:rPr>
      <w:kern w:val="0"/>
    </w:rPr>
  </w:style>
  <w:style w:type="character" w:customStyle="1" w:styleId="ARTICLEChar">
    <w:name w:val="ARTICLE Char"/>
    <w:link w:val="ARTICLE"/>
    <w:rsid w:val="00BE0414"/>
    <w:rPr>
      <w:rFonts w:ascii="Times New Roman" w:eastAsia="新細明體" w:hAnsi="Times New Roman" w:cs="Times New Roman"/>
      <w:kern w:val="0"/>
      <w:szCs w:val="24"/>
    </w:rPr>
  </w:style>
  <w:style w:type="paragraph" w:customStyle="1" w:styleId="HEAD">
    <w:name w:val="HEAD"/>
    <w:basedOn w:val="a"/>
    <w:link w:val="HEADChar"/>
    <w:qFormat/>
    <w:rsid w:val="00BE0414"/>
    <w:pPr>
      <w:widowControl/>
      <w:jc w:val="center"/>
    </w:pPr>
    <w:rPr>
      <w:b/>
      <w:kern w:val="0"/>
      <w:sz w:val="28"/>
      <w:szCs w:val="28"/>
    </w:rPr>
  </w:style>
  <w:style w:type="character" w:customStyle="1" w:styleId="HEADChar">
    <w:name w:val="HEAD Char"/>
    <w:link w:val="HEAD"/>
    <w:rsid w:val="00BE0414"/>
    <w:rPr>
      <w:rFonts w:ascii="Times New Roman" w:eastAsia="新細明體" w:hAnsi="Times New Roman" w:cs="Times New Roman"/>
      <w:b/>
      <w:kern w:val="0"/>
      <w:sz w:val="28"/>
      <w:szCs w:val="28"/>
    </w:rPr>
  </w:style>
  <w:style w:type="paragraph" w:customStyle="1" w:styleId="HEAD-Running">
    <w:name w:val="HEAD-Running"/>
    <w:basedOn w:val="a"/>
    <w:link w:val="HEAD-RunningChar"/>
    <w:qFormat/>
    <w:rsid w:val="00BE0414"/>
    <w:pPr>
      <w:widowControl/>
      <w:jc w:val="center"/>
    </w:pPr>
    <w:rPr>
      <w:b/>
      <w:kern w:val="0"/>
      <w:sz w:val="28"/>
      <w:szCs w:val="28"/>
    </w:rPr>
  </w:style>
  <w:style w:type="character" w:customStyle="1" w:styleId="HEAD-RunningChar">
    <w:name w:val="HEAD-Running Char"/>
    <w:link w:val="HEAD-Running"/>
    <w:rsid w:val="00BE0414"/>
    <w:rPr>
      <w:rFonts w:ascii="Times New Roman" w:eastAsia="新細明體" w:hAnsi="Times New Roman" w:cs="Times New Roman"/>
      <w:b/>
      <w:kern w:val="0"/>
      <w:sz w:val="28"/>
      <w:szCs w:val="28"/>
    </w:rPr>
  </w:style>
  <w:style w:type="paragraph" w:customStyle="1" w:styleId="ITEM">
    <w:name w:val="ITEM"/>
    <w:basedOn w:val="a3"/>
    <w:qFormat/>
    <w:rsid w:val="00BE0414"/>
    <w:pPr>
      <w:widowControl/>
      <w:numPr>
        <w:ilvl w:val="2"/>
        <w:numId w:val="1"/>
      </w:numPr>
      <w:tabs>
        <w:tab w:val="num" w:pos="360"/>
      </w:tabs>
      <w:spacing w:afterLines="50" w:after="120"/>
      <w:ind w:leftChars="0" w:left="480" w:firstLine="0"/>
      <w:jc w:val="both"/>
    </w:pPr>
    <w:rPr>
      <w:kern w:val="0"/>
    </w:rPr>
  </w:style>
  <w:style w:type="paragraph" w:customStyle="1" w:styleId="PARAGRAPH">
    <w:name w:val="PARAGRAPH"/>
    <w:basedOn w:val="a3"/>
    <w:qFormat/>
    <w:rsid w:val="00BE0414"/>
    <w:pPr>
      <w:widowControl/>
      <w:numPr>
        <w:ilvl w:val="1"/>
        <w:numId w:val="1"/>
      </w:numPr>
      <w:tabs>
        <w:tab w:val="num" w:pos="360"/>
      </w:tabs>
      <w:spacing w:afterLines="50" w:after="120"/>
      <w:ind w:leftChars="0" w:left="480" w:firstLine="0"/>
      <w:jc w:val="both"/>
    </w:pPr>
    <w:rPr>
      <w:kern w:val="0"/>
    </w:rPr>
  </w:style>
  <w:style w:type="paragraph" w:customStyle="1" w:styleId="SUBITEM">
    <w:name w:val="SUBITEM"/>
    <w:basedOn w:val="a3"/>
    <w:qFormat/>
    <w:rsid w:val="00BE0414"/>
    <w:pPr>
      <w:widowControl/>
      <w:numPr>
        <w:ilvl w:val="3"/>
        <w:numId w:val="1"/>
      </w:numPr>
      <w:tabs>
        <w:tab w:val="num" w:pos="360"/>
      </w:tabs>
      <w:spacing w:afterLines="50" w:after="120"/>
      <w:ind w:leftChars="0" w:left="480" w:firstLine="0"/>
      <w:jc w:val="both"/>
    </w:pPr>
    <w:rPr>
      <w:kern w:val="0"/>
    </w:rPr>
  </w:style>
  <w:style w:type="paragraph" w:styleId="a3">
    <w:name w:val="List Paragraph"/>
    <w:basedOn w:val="a"/>
    <w:uiPriority w:val="34"/>
    <w:qFormat/>
    <w:rsid w:val="00BE0414"/>
    <w:pPr>
      <w:ind w:leftChars="200" w:left="480"/>
    </w:pPr>
  </w:style>
  <w:style w:type="paragraph" w:styleId="Web">
    <w:name w:val="Normal (Web)"/>
    <w:basedOn w:val="a"/>
    <w:uiPriority w:val="99"/>
    <w:semiHidden/>
    <w:unhideWhenUsed/>
    <w:rsid w:val="00BE0414"/>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F63237"/>
    <w:pPr>
      <w:tabs>
        <w:tab w:val="center" w:pos="4153"/>
        <w:tab w:val="right" w:pos="8306"/>
      </w:tabs>
      <w:snapToGrid w:val="0"/>
    </w:pPr>
    <w:rPr>
      <w:sz w:val="20"/>
      <w:szCs w:val="20"/>
    </w:rPr>
  </w:style>
  <w:style w:type="character" w:customStyle="1" w:styleId="a5">
    <w:name w:val="頁首 字元"/>
    <w:basedOn w:val="a0"/>
    <w:link w:val="a4"/>
    <w:uiPriority w:val="99"/>
    <w:rsid w:val="00F63237"/>
    <w:rPr>
      <w:rFonts w:ascii="Times New Roman" w:eastAsia="新細明體" w:hAnsi="Times New Roman" w:cs="Times New Roman"/>
      <w:sz w:val="20"/>
      <w:szCs w:val="20"/>
    </w:rPr>
  </w:style>
  <w:style w:type="paragraph" w:styleId="a6">
    <w:name w:val="footer"/>
    <w:basedOn w:val="a"/>
    <w:link w:val="a7"/>
    <w:uiPriority w:val="99"/>
    <w:unhideWhenUsed/>
    <w:rsid w:val="00F63237"/>
    <w:pPr>
      <w:tabs>
        <w:tab w:val="center" w:pos="4153"/>
        <w:tab w:val="right" w:pos="8306"/>
      </w:tabs>
      <w:snapToGrid w:val="0"/>
    </w:pPr>
    <w:rPr>
      <w:sz w:val="20"/>
      <w:szCs w:val="20"/>
    </w:rPr>
  </w:style>
  <w:style w:type="character" w:customStyle="1" w:styleId="a7">
    <w:name w:val="頁尾 字元"/>
    <w:basedOn w:val="a0"/>
    <w:link w:val="a6"/>
    <w:uiPriority w:val="99"/>
    <w:rsid w:val="00F632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368">
      <w:bodyDiv w:val="1"/>
      <w:marLeft w:val="0"/>
      <w:marRight w:val="0"/>
      <w:marTop w:val="0"/>
      <w:marBottom w:val="0"/>
      <w:divBdr>
        <w:top w:val="none" w:sz="0" w:space="0" w:color="auto"/>
        <w:left w:val="none" w:sz="0" w:space="0" w:color="auto"/>
        <w:bottom w:val="none" w:sz="0" w:space="0" w:color="auto"/>
        <w:right w:val="none" w:sz="0" w:space="0" w:color="auto"/>
      </w:divBdr>
    </w:div>
    <w:div w:id="17010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2019-11-15T01:07:00Z</dcterms:created>
  <dcterms:modified xsi:type="dcterms:W3CDTF">2019-11-19T08:41:00Z</dcterms:modified>
</cp:coreProperties>
</file>