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CC4D" w14:textId="77777777" w:rsidR="00267D7D" w:rsidRPr="00671B62" w:rsidRDefault="0070600B">
      <w:pPr>
        <w:pStyle w:val="a4"/>
        <w:spacing w:before="217"/>
        <w:rPr>
          <w:rFonts w:ascii="Times New Roman" w:hAnsi="Times New Roman" w:cs="Times New Roman"/>
          <w:spacing w:val="-2"/>
        </w:rPr>
      </w:pPr>
      <w:r w:rsidRPr="00671B62">
        <w:rPr>
          <w:rFonts w:ascii="Times New Roman" w:hAnsi="Times New Roman" w:cs="Times New Roman"/>
          <w:spacing w:val="-1"/>
        </w:rPr>
        <w:t xml:space="preserve">The Evaluation Guidelines for </w:t>
      </w:r>
      <w:r w:rsidRPr="00671B62">
        <w:rPr>
          <w:rFonts w:ascii="Times New Roman" w:hAnsi="Times New Roman" w:cs="Times New Roman"/>
          <w:spacing w:val="-2"/>
        </w:rPr>
        <w:t xml:space="preserve">Task Force Level 3 Research Center, </w:t>
      </w:r>
    </w:p>
    <w:p w14:paraId="2FBF8732" w14:textId="07CCD86F" w:rsidR="0070600B" w:rsidRPr="00671B62" w:rsidRDefault="0070600B">
      <w:pPr>
        <w:pStyle w:val="a4"/>
        <w:spacing w:before="217"/>
        <w:rPr>
          <w:rFonts w:ascii="Times New Roman" w:hAnsi="Times New Roman" w:cs="Times New Roman"/>
        </w:rPr>
      </w:pPr>
      <w:r w:rsidRPr="00671B62">
        <w:rPr>
          <w:rFonts w:ascii="Times New Roman" w:hAnsi="Times New Roman" w:cs="Times New Roman"/>
          <w:spacing w:val="-2"/>
        </w:rPr>
        <w:t>College of Engineering, National Sun Yat-sen University</w:t>
      </w:r>
    </w:p>
    <w:p w14:paraId="1373392C" w14:textId="5621ADF2" w:rsidR="00301C08" w:rsidRPr="00671B62" w:rsidRDefault="00301C08">
      <w:pPr>
        <w:spacing w:before="278" w:line="270" w:lineRule="exact"/>
        <w:ind w:right="232"/>
        <w:jc w:val="right"/>
        <w:rPr>
          <w:spacing w:val="-2"/>
          <w:sz w:val="20"/>
        </w:rPr>
      </w:pPr>
    </w:p>
    <w:p w14:paraId="7ABA08CD" w14:textId="3D8BB187" w:rsidR="00F9038E" w:rsidRPr="00671B62" w:rsidRDefault="00F9038E" w:rsidP="00F9038E">
      <w:pPr>
        <w:spacing w:line="260" w:lineRule="exact"/>
        <w:ind w:right="231"/>
        <w:jc w:val="right"/>
        <w:rPr>
          <w:rFonts w:ascii="Times New Roman" w:hAnsi="Times New Roman" w:cs="Times New Roman"/>
          <w:spacing w:val="-2"/>
          <w:sz w:val="20"/>
        </w:rPr>
      </w:pPr>
      <w:r w:rsidRPr="00671B62">
        <w:rPr>
          <w:rFonts w:ascii="Times New Roman" w:hAnsi="Times New Roman" w:cs="Times New Roman"/>
          <w:spacing w:val="-2"/>
          <w:sz w:val="20"/>
        </w:rPr>
        <w:t>Formulated at the 11</w:t>
      </w:r>
      <w:r w:rsidRPr="00671B62">
        <w:rPr>
          <w:rFonts w:ascii="Times New Roman" w:hAnsi="Times New Roman" w:cs="Times New Roman"/>
          <w:spacing w:val="-2"/>
          <w:sz w:val="20"/>
          <w:vertAlign w:val="superscript"/>
        </w:rPr>
        <w:t xml:space="preserve">th </w:t>
      </w:r>
      <w:r w:rsidRPr="00671B62">
        <w:rPr>
          <w:rFonts w:ascii="Times New Roman" w:hAnsi="Times New Roman" w:cs="Times New Roman"/>
          <w:spacing w:val="-2"/>
          <w:sz w:val="20"/>
        </w:rPr>
        <w:t>Supervisory</w:t>
      </w:r>
      <w:r w:rsidRPr="00671B62">
        <w:rPr>
          <w:rFonts w:ascii="Times New Roman" w:hAnsi="Times New Roman" w:cs="Times New Roman" w:hint="eastAsia"/>
          <w:spacing w:val="-2"/>
          <w:sz w:val="20"/>
        </w:rPr>
        <w:t xml:space="preserve"> </w:t>
      </w:r>
      <w:r w:rsidRPr="00671B62">
        <w:rPr>
          <w:rFonts w:ascii="Times New Roman" w:hAnsi="Times New Roman" w:cs="Times New Roman"/>
          <w:spacing w:val="-2"/>
          <w:sz w:val="20"/>
        </w:rPr>
        <w:t>Meeting of the College of 106 academic year on July 12, 2018</w:t>
      </w:r>
    </w:p>
    <w:p w14:paraId="0B8A7692" w14:textId="72147F2C" w:rsidR="00F9038E" w:rsidRPr="00671B62" w:rsidRDefault="00F9038E">
      <w:pPr>
        <w:spacing w:line="260" w:lineRule="exact"/>
        <w:ind w:right="231"/>
        <w:jc w:val="right"/>
        <w:rPr>
          <w:rFonts w:ascii="Times New Roman" w:hAnsi="Times New Roman" w:cs="Times New Roman"/>
          <w:sz w:val="20"/>
        </w:rPr>
      </w:pPr>
      <w:r w:rsidRPr="00671B62">
        <w:rPr>
          <w:rFonts w:ascii="Times New Roman" w:hAnsi="Times New Roman" w:cs="Times New Roman"/>
          <w:spacing w:val="-2"/>
          <w:sz w:val="20"/>
        </w:rPr>
        <w:t>Revised at the 2</w:t>
      </w:r>
      <w:r w:rsidRPr="00671B62">
        <w:rPr>
          <w:rFonts w:ascii="Times New Roman" w:hAnsi="Times New Roman" w:cs="Times New Roman"/>
          <w:spacing w:val="-2"/>
          <w:sz w:val="20"/>
          <w:vertAlign w:val="superscript"/>
        </w:rPr>
        <w:t>nd</w:t>
      </w:r>
      <w:r w:rsidRPr="00671B62">
        <w:rPr>
          <w:rFonts w:ascii="Times New Roman" w:hAnsi="Times New Roman" w:cs="Times New Roman"/>
          <w:spacing w:val="-2"/>
          <w:sz w:val="20"/>
        </w:rPr>
        <w:t xml:space="preserve"> Supervisory Meeting of the College of 107 academic year on October 12, 2018</w:t>
      </w:r>
    </w:p>
    <w:p w14:paraId="43622682" w14:textId="3F95D4E1" w:rsidR="00F9038E" w:rsidRPr="00671B62" w:rsidRDefault="00F9038E" w:rsidP="00F9038E">
      <w:pPr>
        <w:spacing w:line="260" w:lineRule="exact"/>
        <w:ind w:right="231"/>
        <w:jc w:val="right"/>
        <w:rPr>
          <w:rFonts w:ascii="Times New Roman" w:hAnsi="Times New Roman" w:cs="Times New Roman"/>
          <w:sz w:val="20"/>
        </w:rPr>
      </w:pPr>
      <w:r w:rsidRPr="00671B62">
        <w:rPr>
          <w:rFonts w:ascii="Times New Roman" w:hAnsi="Times New Roman" w:cs="Times New Roman"/>
          <w:spacing w:val="-2"/>
          <w:sz w:val="20"/>
        </w:rPr>
        <w:t>Revised at the 6</w:t>
      </w:r>
      <w:r w:rsidRPr="00671B62">
        <w:rPr>
          <w:rFonts w:ascii="Times New Roman" w:hAnsi="Times New Roman" w:cs="Times New Roman"/>
          <w:spacing w:val="-2"/>
          <w:sz w:val="20"/>
          <w:vertAlign w:val="superscript"/>
        </w:rPr>
        <w:t>th</w:t>
      </w:r>
      <w:r w:rsidRPr="00671B62">
        <w:rPr>
          <w:rFonts w:ascii="Times New Roman" w:hAnsi="Times New Roman" w:cs="Times New Roman"/>
          <w:spacing w:val="-2"/>
          <w:sz w:val="20"/>
        </w:rPr>
        <w:t xml:space="preserve"> Supervisory Meeting of the College of 110 academic year on June 15, 2022</w:t>
      </w:r>
    </w:p>
    <w:p w14:paraId="4A3685C5" w14:textId="23289A3D" w:rsidR="00F9038E" w:rsidRPr="00671B62" w:rsidRDefault="00F9038E" w:rsidP="00F9038E">
      <w:pPr>
        <w:spacing w:line="260" w:lineRule="exact"/>
        <w:ind w:right="231"/>
        <w:jc w:val="right"/>
        <w:rPr>
          <w:rFonts w:ascii="Times New Roman" w:hAnsi="Times New Roman" w:cs="Times New Roman"/>
          <w:sz w:val="20"/>
        </w:rPr>
      </w:pPr>
      <w:r w:rsidRPr="00671B62">
        <w:rPr>
          <w:rFonts w:ascii="Times New Roman" w:hAnsi="Times New Roman" w:cs="Times New Roman"/>
          <w:spacing w:val="-2"/>
          <w:sz w:val="20"/>
        </w:rPr>
        <w:t>Revised at the 1</w:t>
      </w:r>
      <w:r w:rsidRPr="00671B62">
        <w:rPr>
          <w:rFonts w:ascii="Times New Roman" w:hAnsi="Times New Roman" w:cs="Times New Roman"/>
          <w:spacing w:val="-2"/>
          <w:sz w:val="20"/>
          <w:vertAlign w:val="superscript"/>
        </w:rPr>
        <w:t>st</w:t>
      </w:r>
      <w:r w:rsidRPr="00671B62">
        <w:rPr>
          <w:rFonts w:ascii="Times New Roman" w:hAnsi="Times New Roman" w:cs="Times New Roman"/>
          <w:spacing w:val="-2"/>
          <w:sz w:val="20"/>
        </w:rPr>
        <w:t xml:space="preserve"> Supervisory Meeting of the College of 111 academic year on August 1, 2022</w:t>
      </w:r>
    </w:p>
    <w:p w14:paraId="69CBDAF0" w14:textId="5CAA26A5" w:rsidR="00640BDC" w:rsidRPr="00671B62" w:rsidRDefault="00640BDC">
      <w:pPr>
        <w:spacing w:line="269" w:lineRule="exact"/>
        <w:ind w:right="232"/>
        <w:jc w:val="right"/>
        <w:rPr>
          <w:rFonts w:ascii="Times New Roman" w:hAnsi="Times New Roman" w:cs="Times New Roman"/>
          <w:sz w:val="20"/>
        </w:rPr>
      </w:pPr>
      <w:r w:rsidRPr="00671B62">
        <w:rPr>
          <w:rFonts w:ascii="Times New Roman" w:hAnsi="Times New Roman" w:cs="Times New Roman"/>
          <w:spacing w:val="-1"/>
          <w:sz w:val="20"/>
        </w:rPr>
        <w:t>Revised at the 3</w:t>
      </w:r>
      <w:r w:rsidRPr="00671B62">
        <w:rPr>
          <w:rFonts w:ascii="Times New Roman" w:hAnsi="Times New Roman" w:cs="Times New Roman"/>
          <w:spacing w:val="-1"/>
          <w:sz w:val="20"/>
          <w:vertAlign w:val="superscript"/>
        </w:rPr>
        <w:t>rd</w:t>
      </w:r>
      <w:r w:rsidRPr="00671B62">
        <w:rPr>
          <w:rFonts w:ascii="Times New Roman" w:hAnsi="Times New Roman" w:cs="Times New Roman"/>
          <w:spacing w:val="-1"/>
          <w:sz w:val="20"/>
        </w:rPr>
        <w:t xml:space="preserve"> Research Center Management Committee of academic year 111 on August 26, 2022</w:t>
      </w:r>
    </w:p>
    <w:p w14:paraId="334B5CF9" w14:textId="478AEAC3" w:rsidR="00CA58FB" w:rsidRPr="00671B62" w:rsidRDefault="00CA58FB" w:rsidP="004549F5">
      <w:pPr>
        <w:pStyle w:val="a3"/>
        <w:numPr>
          <w:ilvl w:val="0"/>
          <w:numId w:val="1"/>
        </w:numPr>
        <w:spacing w:before="176" w:line="223" w:lineRule="auto"/>
        <w:ind w:right="232"/>
        <w:jc w:val="both"/>
        <w:rPr>
          <w:spacing w:val="-2"/>
        </w:rPr>
      </w:pPr>
      <w:r w:rsidRPr="00671B62">
        <w:rPr>
          <w:rFonts w:ascii="Times New Roman" w:hAnsi="Times New Roman" w:cs="Times New Roman"/>
          <w:spacing w:val="-2"/>
        </w:rPr>
        <w:t xml:space="preserve">To effectively manage the </w:t>
      </w:r>
      <w:r w:rsidR="00BA7D0C" w:rsidRPr="00671B62">
        <w:rPr>
          <w:rFonts w:ascii="Times New Roman" w:hAnsi="Times New Roman" w:cs="Times New Roman"/>
          <w:spacing w:val="-2"/>
        </w:rPr>
        <w:t>Task Force Level 3 Research Center of the College (hereinafter referred to as Research Center), enhance the publication</w:t>
      </w:r>
      <w:r w:rsidR="0023707E" w:rsidRPr="00671B62">
        <w:rPr>
          <w:rFonts w:ascii="Times New Roman" w:hAnsi="Times New Roman" w:cs="Times New Roman" w:hint="eastAsia"/>
          <w:spacing w:val="-2"/>
        </w:rPr>
        <w:t>s</w:t>
      </w:r>
      <w:r w:rsidR="00BA7D0C" w:rsidRPr="00671B62">
        <w:rPr>
          <w:rFonts w:ascii="Times New Roman" w:hAnsi="Times New Roman" w:cs="Times New Roman"/>
          <w:spacing w:val="-2"/>
        </w:rPr>
        <w:t xml:space="preserve"> of the Research Center of the College, and strive for </w:t>
      </w:r>
      <w:r w:rsidR="00890F21" w:rsidRPr="00671B62">
        <w:rPr>
          <w:rFonts w:ascii="Times New Roman" w:hAnsi="Times New Roman" w:cs="Times New Roman"/>
          <w:spacing w:val="-2"/>
        </w:rPr>
        <w:t>external</w:t>
      </w:r>
      <w:r w:rsidR="00BA7D0C" w:rsidRPr="00671B62">
        <w:rPr>
          <w:rFonts w:ascii="Times New Roman" w:hAnsi="Times New Roman" w:cs="Times New Roman"/>
          <w:spacing w:val="-2"/>
        </w:rPr>
        <w:t xml:space="preserve"> resources and academic exchange</w:t>
      </w:r>
      <w:r w:rsidR="0023707E" w:rsidRPr="00671B62">
        <w:rPr>
          <w:rFonts w:ascii="Times New Roman" w:hAnsi="Times New Roman" w:cs="Times New Roman" w:hint="eastAsia"/>
          <w:spacing w:val="-2"/>
        </w:rPr>
        <w:t>s</w:t>
      </w:r>
      <w:r w:rsidR="00BA7D0C" w:rsidRPr="00671B62">
        <w:rPr>
          <w:rFonts w:ascii="Times New Roman" w:hAnsi="Times New Roman" w:cs="Times New Roman"/>
          <w:spacing w:val="-2"/>
        </w:rPr>
        <w:t xml:space="preserve">, the Guidelines are accordingly formulated in accordance with Article 10 of </w:t>
      </w:r>
      <w:r w:rsidR="009E1EDA" w:rsidRPr="00671B62">
        <w:rPr>
          <w:rFonts w:ascii="Times New Roman" w:hAnsi="Times New Roman" w:cs="Times New Roman"/>
          <w:spacing w:val="-2"/>
        </w:rPr>
        <w:t xml:space="preserve">Evaluation Guidelines for the Establishment and Management of </w:t>
      </w:r>
      <w:r w:rsidR="0023707E" w:rsidRPr="00671B62">
        <w:rPr>
          <w:rFonts w:ascii="Times New Roman" w:hAnsi="Times New Roman" w:cs="Times New Roman" w:hint="eastAsia"/>
          <w:spacing w:val="-2"/>
        </w:rPr>
        <w:t>the</w:t>
      </w:r>
      <w:r w:rsidR="00EA3074" w:rsidRPr="00671B62">
        <w:rPr>
          <w:rFonts w:ascii="Times New Roman" w:hAnsi="Times New Roman" w:cs="Times New Roman"/>
          <w:spacing w:val="-2"/>
        </w:rPr>
        <w:t xml:space="preserve"> </w:t>
      </w:r>
      <w:r w:rsidR="009E1EDA" w:rsidRPr="00671B62">
        <w:rPr>
          <w:rFonts w:ascii="Times New Roman" w:hAnsi="Times New Roman" w:cs="Times New Roman"/>
          <w:spacing w:val="-2"/>
        </w:rPr>
        <w:t>Research Center.</w:t>
      </w:r>
    </w:p>
    <w:p w14:paraId="05E455E0" w14:textId="77777777" w:rsidR="00C725F8" w:rsidRPr="00671B62" w:rsidRDefault="000A6EC4" w:rsidP="00C725F8">
      <w:pPr>
        <w:pStyle w:val="a3"/>
        <w:numPr>
          <w:ilvl w:val="0"/>
          <w:numId w:val="1"/>
        </w:numPr>
        <w:spacing w:before="176" w:line="223" w:lineRule="auto"/>
        <w:ind w:right="232"/>
        <w:jc w:val="both"/>
        <w:rPr>
          <w:spacing w:val="-2"/>
        </w:rPr>
      </w:pPr>
      <w:r w:rsidRPr="00671B62">
        <w:rPr>
          <w:rFonts w:ascii="Times New Roman" w:hAnsi="Times New Roman" w:cs="Times New Roman"/>
          <w:spacing w:val="-2"/>
        </w:rPr>
        <w:t xml:space="preserve">The Evaluation Committee of Task Force Level 3 Research Center (hereinafter referred to as </w:t>
      </w:r>
      <w:r w:rsidR="00890F21" w:rsidRPr="00671B62">
        <w:rPr>
          <w:rFonts w:ascii="Times New Roman" w:hAnsi="Times New Roman" w:cs="Times New Roman"/>
          <w:spacing w:val="-2"/>
        </w:rPr>
        <w:t>t</w:t>
      </w:r>
      <w:r w:rsidRPr="00671B62">
        <w:rPr>
          <w:rFonts w:ascii="Times New Roman" w:hAnsi="Times New Roman" w:cs="Times New Roman"/>
          <w:spacing w:val="-2"/>
        </w:rPr>
        <w:t xml:space="preserve">he Evaluation Committee) is set up under the College. The members of </w:t>
      </w:r>
      <w:r w:rsidR="006B6006" w:rsidRPr="00671B62">
        <w:rPr>
          <w:rFonts w:ascii="Times New Roman" w:hAnsi="Times New Roman" w:cs="Times New Roman"/>
          <w:spacing w:val="-2"/>
        </w:rPr>
        <w:t xml:space="preserve">the </w:t>
      </w:r>
      <w:r w:rsidRPr="00671B62">
        <w:rPr>
          <w:rFonts w:ascii="Times New Roman" w:hAnsi="Times New Roman" w:cs="Times New Roman"/>
          <w:spacing w:val="-2"/>
        </w:rPr>
        <w:t xml:space="preserve">committee include the Dean, Associate Dean, and the Chairpersons of </w:t>
      </w:r>
      <w:r w:rsidR="006B6006" w:rsidRPr="00671B62">
        <w:rPr>
          <w:rFonts w:ascii="Times New Roman" w:hAnsi="Times New Roman" w:cs="Times New Roman"/>
          <w:spacing w:val="-2"/>
        </w:rPr>
        <w:t xml:space="preserve">each department and institute. One or two </w:t>
      </w:r>
      <w:r w:rsidR="00635ECB" w:rsidRPr="00671B62">
        <w:rPr>
          <w:rFonts w:ascii="Times New Roman" w:hAnsi="Times New Roman" w:cs="Times New Roman"/>
          <w:spacing w:val="-2"/>
        </w:rPr>
        <w:t>teacher</w:t>
      </w:r>
      <w:r w:rsidR="006B6006" w:rsidRPr="00671B62">
        <w:rPr>
          <w:rFonts w:ascii="Times New Roman" w:hAnsi="Times New Roman" w:cs="Times New Roman"/>
          <w:spacing w:val="-2"/>
        </w:rPr>
        <w:t xml:space="preserve"> representatives from outside the College shall be invited if necessary</w:t>
      </w:r>
      <w:r w:rsidR="00635ECB" w:rsidRPr="00671B62">
        <w:rPr>
          <w:rFonts w:ascii="Times New Roman" w:hAnsi="Times New Roman" w:cs="Times New Roman"/>
          <w:spacing w:val="-2"/>
        </w:rPr>
        <w:t xml:space="preserve">, with the Dean serving as the convener. The committee meeting may be held </w:t>
      </w:r>
      <w:r w:rsidR="00635ECB" w:rsidRPr="00671B62">
        <w:rPr>
          <w:rFonts w:ascii="Times New Roman" w:eastAsia="標楷體" w:hAnsi="Times New Roman"/>
        </w:rPr>
        <w:t>only if more than two-thirds (inclusive) of the committee members attend.</w:t>
      </w:r>
    </w:p>
    <w:p w14:paraId="03615740" w14:textId="4F768716" w:rsidR="002D10F4" w:rsidRPr="00671B62" w:rsidRDefault="00635ECB" w:rsidP="00C725F8">
      <w:pPr>
        <w:pStyle w:val="a3"/>
        <w:numPr>
          <w:ilvl w:val="0"/>
          <w:numId w:val="1"/>
        </w:numPr>
        <w:spacing w:before="176" w:line="223" w:lineRule="auto"/>
        <w:ind w:right="232"/>
        <w:jc w:val="both"/>
        <w:rPr>
          <w:spacing w:val="-2"/>
        </w:rPr>
      </w:pPr>
      <w:r w:rsidRPr="00671B62">
        <w:rPr>
          <w:rFonts w:ascii="Times New Roman" w:hAnsi="Times New Roman" w:cs="Times New Roman"/>
          <w:spacing w:val="-2"/>
        </w:rPr>
        <w:t xml:space="preserve">The Evaluation Committee of the College is scheduled to be convened </w:t>
      </w:r>
      <w:r w:rsidR="00310657" w:rsidRPr="00671B62">
        <w:rPr>
          <w:rFonts w:ascii="Times New Roman" w:hAnsi="Times New Roman" w:cs="Times New Roman"/>
          <w:spacing w:val="-2"/>
        </w:rPr>
        <w:t>in</w:t>
      </w:r>
      <w:r w:rsidRPr="00671B62">
        <w:rPr>
          <w:rFonts w:ascii="Times New Roman" w:hAnsi="Times New Roman" w:cs="Times New Roman"/>
          <w:spacing w:val="-2"/>
        </w:rPr>
        <w:t xml:space="preserve"> November. Upon </w:t>
      </w:r>
      <w:r w:rsidR="00310657" w:rsidRPr="00671B62">
        <w:rPr>
          <w:rFonts w:ascii="Times New Roman" w:hAnsi="Times New Roman" w:cs="Times New Roman"/>
          <w:spacing w:val="-2"/>
        </w:rPr>
        <w:t>accepting the</w:t>
      </w:r>
      <w:r w:rsidRPr="00671B62">
        <w:rPr>
          <w:rFonts w:ascii="Times New Roman" w:hAnsi="Times New Roman" w:cs="Times New Roman"/>
          <w:spacing w:val="-2"/>
        </w:rPr>
        <w:t xml:space="preserve"> </w:t>
      </w:r>
      <w:r w:rsidR="00310657" w:rsidRPr="00671B62">
        <w:rPr>
          <w:rFonts w:ascii="Times New Roman" w:hAnsi="Times New Roman" w:cs="Times New Roman"/>
          <w:spacing w:val="-2"/>
        </w:rPr>
        <w:t>evaluation, the Research Center shall provide the previous evaluation materials up to October 31</w:t>
      </w:r>
      <w:r w:rsidR="00EA3074" w:rsidRPr="00671B62">
        <w:rPr>
          <w:rFonts w:ascii="Times New Roman" w:hAnsi="Times New Roman" w:cs="Times New Roman"/>
          <w:spacing w:val="-2"/>
          <w:vertAlign w:val="superscript"/>
        </w:rPr>
        <w:t>st</w:t>
      </w:r>
      <w:r w:rsidR="00310657" w:rsidRPr="00671B62">
        <w:rPr>
          <w:rFonts w:ascii="Times New Roman" w:hAnsi="Times New Roman" w:cs="Times New Roman"/>
          <w:spacing w:val="-2"/>
        </w:rPr>
        <w:t xml:space="preserve"> of the year being evaluated</w:t>
      </w:r>
      <w:r w:rsidR="00B77F8D" w:rsidRPr="00671B62">
        <w:rPr>
          <w:rFonts w:ascii="Times New Roman" w:hAnsi="Times New Roman" w:cs="Times New Roman"/>
          <w:spacing w:val="-2"/>
        </w:rPr>
        <w:t xml:space="preserve">. </w:t>
      </w:r>
      <w:r w:rsidR="00EF42BD" w:rsidRPr="00671B62">
        <w:rPr>
          <w:rFonts w:ascii="Times New Roman" w:hAnsi="Times New Roman" w:cs="Times New Roman"/>
          <w:spacing w:val="-2"/>
        </w:rPr>
        <w:t xml:space="preserve">The research or event results shall be implemented in the name of the Research Center and in line with </w:t>
      </w:r>
      <w:r w:rsidR="00464832" w:rsidRPr="00671B62">
        <w:rPr>
          <w:rFonts w:ascii="Times New Roman" w:hAnsi="Times New Roman" w:cs="Times New Roman"/>
          <w:spacing w:val="-2"/>
        </w:rPr>
        <w:t>the purp</w:t>
      </w:r>
      <w:r w:rsidR="007E4B7A" w:rsidRPr="00671B62">
        <w:rPr>
          <w:rFonts w:ascii="Times New Roman" w:hAnsi="Times New Roman" w:cs="Times New Roman"/>
          <w:spacing w:val="-2"/>
        </w:rPr>
        <w:t>ose</w:t>
      </w:r>
      <w:r w:rsidR="00464832" w:rsidRPr="00671B62">
        <w:rPr>
          <w:rFonts w:ascii="Times New Roman" w:hAnsi="Times New Roman" w:cs="Times New Roman"/>
          <w:spacing w:val="-2"/>
        </w:rPr>
        <w:t xml:space="preserve"> </w:t>
      </w:r>
      <w:r w:rsidR="00EA3074" w:rsidRPr="00671B62">
        <w:rPr>
          <w:rFonts w:ascii="Times New Roman" w:hAnsi="Times New Roman" w:cs="Times New Roman"/>
          <w:spacing w:val="-2"/>
        </w:rPr>
        <w:t>of</w:t>
      </w:r>
      <w:r w:rsidR="00464832" w:rsidRPr="00671B62">
        <w:rPr>
          <w:rFonts w:ascii="Times New Roman" w:hAnsi="Times New Roman" w:cs="Times New Roman"/>
          <w:spacing w:val="-2"/>
        </w:rPr>
        <w:t xml:space="preserve"> </w:t>
      </w:r>
      <w:r w:rsidR="00EA3074" w:rsidRPr="00671B62">
        <w:rPr>
          <w:rFonts w:ascii="Times New Roman" w:hAnsi="Times New Roman" w:cs="Times New Roman"/>
          <w:spacing w:val="-2"/>
        </w:rPr>
        <w:t xml:space="preserve">its </w:t>
      </w:r>
      <w:r w:rsidR="00464832" w:rsidRPr="00671B62">
        <w:rPr>
          <w:rFonts w:ascii="Times New Roman" w:hAnsi="Times New Roman" w:cs="Times New Roman"/>
          <w:spacing w:val="-2"/>
        </w:rPr>
        <w:t>establishment:</w:t>
      </w:r>
      <w:r w:rsidR="002D10F4" w:rsidRPr="00671B62">
        <w:rPr>
          <w:rFonts w:ascii="Times New Roman" w:eastAsia="Times New Roman"/>
        </w:rPr>
        <w:t xml:space="preserve"> </w:t>
      </w:r>
    </w:p>
    <w:p w14:paraId="51D03A5E" w14:textId="3C5C165E"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rPr>
        <w:t>The consistency of the operation direction and establishment purpose shall be illustrated, including the manpower allocation (employment) of the Research Center, organizational management, evaluation of the energy status of the domestic academic circle and industry-academia, and sustainable development of the operation model.</w:t>
      </w:r>
    </w:p>
    <w:p w14:paraId="7AAAEA13" w14:textId="77777777"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rPr>
        <w:t>The number of academic publications (including academic papers and works) and their importance. The publication date must be within the evaluation period.</w:t>
      </w:r>
    </w:p>
    <w:p w14:paraId="1547E934" w14:textId="77777777"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rPr>
        <w:t>The funds and results of external projects. Projects signed with Sun Yat-sen University during the evaluation period are recognized.</w:t>
      </w:r>
    </w:p>
    <w:p w14:paraId="3103B6E9" w14:textId="77777777"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spacing w:val="-2"/>
        </w:rPr>
        <w:t>The number and importance of the academic exchanges (including self-funding and university support). The events shall be within the evaluation period.</w:t>
      </w:r>
    </w:p>
    <w:p w14:paraId="25710D53" w14:textId="77777777" w:rsidR="002D10F4" w:rsidRPr="00671B62" w:rsidRDefault="002D10F4" w:rsidP="002D10F4">
      <w:pPr>
        <w:pStyle w:val="a3"/>
        <w:numPr>
          <w:ilvl w:val="0"/>
          <w:numId w:val="4"/>
        </w:numPr>
        <w:spacing w:line="223" w:lineRule="auto"/>
        <w:ind w:right="227"/>
        <w:jc w:val="both"/>
        <w:rPr>
          <w:spacing w:val="-6"/>
        </w:rPr>
      </w:pPr>
      <w:r w:rsidRPr="00671B62">
        <w:rPr>
          <w:rStyle w:val="q4iawc"/>
          <w:rFonts w:ascii="Times New Roman" w:hAnsi="Times New Roman" w:cs="Times New Roman"/>
          <w:lang w:val="en"/>
        </w:rPr>
        <w:t>Expense details, including personnel, business, water, electricity, equipment, and other expenses supported by the university or related departments, as well as the space used.</w:t>
      </w:r>
    </w:p>
    <w:p w14:paraId="08F09D44" w14:textId="77777777"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spacing w:val="-2"/>
        </w:rPr>
        <w:t>Other items that can manifest the highlight of the Center.</w:t>
      </w:r>
    </w:p>
    <w:p w14:paraId="11292AD7" w14:textId="0B91CA2C" w:rsidR="002D10F4" w:rsidRPr="00671B62" w:rsidRDefault="002D10F4" w:rsidP="002D10F4">
      <w:pPr>
        <w:pStyle w:val="a3"/>
        <w:numPr>
          <w:ilvl w:val="0"/>
          <w:numId w:val="4"/>
        </w:numPr>
        <w:spacing w:line="223" w:lineRule="auto"/>
        <w:ind w:right="227"/>
        <w:jc w:val="both"/>
        <w:rPr>
          <w:spacing w:val="-6"/>
        </w:rPr>
      </w:pPr>
      <w:r w:rsidRPr="00671B62">
        <w:rPr>
          <w:rFonts w:ascii="Times New Roman" w:hAnsi="Times New Roman" w:cs="Times New Roman"/>
          <w:spacing w:val="-2"/>
        </w:rPr>
        <w:t>Outlook for the next three years.</w:t>
      </w:r>
    </w:p>
    <w:p w14:paraId="5F0B450E" w14:textId="3FB4D657" w:rsidR="00635ECB" w:rsidRPr="00671B62" w:rsidRDefault="002D10F4" w:rsidP="00C725F8">
      <w:pPr>
        <w:pStyle w:val="a3"/>
        <w:numPr>
          <w:ilvl w:val="0"/>
          <w:numId w:val="1"/>
        </w:numPr>
        <w:spacing w:before="176" w:line="223" w:lineRule="auto"/>
        <w:ind w:right="232"/>
        <w:jc w:val="both"/>
        <w:rPr>
          <w:spacing w:val="-2"/>
        </w:rPr>
      </w:pPr>
      <w:r w:rsidRPr="00671B62">
        <w:rPr>
          <w:rFonts w:ascii="Times New Roman" w:eastAsia="Times New Roman"/>
        </w:rPr>
        <w:lastRenderedPageBreak/>
        <w:t>Evaluation Criteria and Results</w:t>
      </w:r>
    </w:p>
    <w:p w14:paraId="7CE0BC32" w14:textId="06887CCF" w:rsidR="005127D2" w:rsidRPr="00671B62" w:rsidRDefault="005127D2" w:rsidP="005127D2">
      <w:pPr>
        <w:pStyle w:val="a3"/>
        <w:spacing w:before="35"/>
        <w:rPr>
          <w:rFonts w:ascii="微軟正黑體" w:eastAsia="微軟正黑體" w:hAnsi="微軟正黑體"/>
        </w:rPr>
      </w:pPr>
      <w:r w:rsidRPr="00671B62">
        <w:rPr>
          <w:rFonts w:ascii="Times New Roman" w:eastAsiaTheme="minorEastAsia" w:hAnsi="Times New Roman" w:cs="Times New Roman"/>
        </w:rPr>
        <w:t>(1)</w:t>
      </w:r>
      <w:r w:rsidRPr="00671B62">
        <w:rPr>
          <w:rFonts w:ascii="Times New Roman" w:eastAsia="Times New Roman"/>
        </w:rPr>
        <w:t>Total Score and Items of Evaluation</w:t>
      </w:r>
      <w:r w:rsidRPr="00671B62">
        <w:rPr>
          <w:rFonts w:ascii="微軟正黑體" w:eastAsia="微軟正黑體" w:hAnsi="微軟正黑體" w:hint="eastAsia"/>
        </w:rPr>
        <w:t>：</w:t>
      </w:r>
    </w:p>
    <w:p w14:paraId="40BA2E85" w14:textId="77777777" w:rsidR="005127D2" w:rsidRPr="00671B62" w:rsidRDefault="005127D2" w:rsidP="005127D2">
      <w:pPr>
        <w:pStyle w:val="a3"/>
        <w:spacing w:before="35"/>
        <w:ind w:left="957"/>
        <w:rPr>
          <w:rFonts w:ascii="微軟正黑體" w:eastAsia="微軟正黑體" w:hAnsi="微軟正黑體"/>
        </w:rPr>
      </w:pPr>
      <w:r w:rsidRPr="00671B62">
        <w:rPr>
          <w:rFonts w:ascii="Times New Roman" w:hAnsi="Times New Roman" w:cs="Times New Roman"/>
          <w:spacing w:val="-6"/>
        </w:rPr>
        <w:t>The total score of the evaluation is 100 points, and the evaluation items are external funding, academic publications, academic exchanges</w:t>
      </w:r>
      <w:r w:rsidRPr="00671B62">
        <w:rPr>
          <w:rFonts w:ascii="Times New Roman" w:hAnsi="Times New Roman" w:cs="Times New Roman" w:hint="eastAsia"/>
          <w:spacing w:val="-6"/>
        </w:rPr>
        <w:t>,</w:t>
      </w:r>
      <w:r w:rsidRPr="00671B62">
        <w:rPr>
          <w:rFonts w:ascii="Times New Roman" w:hAnsi="Times New Roman" w:cs="Times New Roman"/>
          <w:spacing w:val="-6"/>
        </w:rPr>
        <w:t xml:space="preserve"> and other items that manifest the value of the Center, among which the score for external funding shall not be zero.</w:t>
      </w:r>
    </w:p>
    <w:p w14:paraId="54C6DA4E" w14:textId="06CD66B6" w:rsidR="005127D2" w:rsidRPr="00671B62" w:rsidRDefault="005127D2" w:rsidP="005127D2">
      <w:pPr>
        <w:pStyle w:val="a3"/>
        <w:spacing w:before="35"/>
        <w:rPr>
          <w:rFonts w:ascii="Times New Roman" w:eastAsia="Arial Unicode MS" w:hAnsi="Times New Roman" w:cs="Times New Roman"/>
          <w:spacing w:val="-10"/>
        </w:rPr>
      </w:pPr>
      <w:r w:rsidRPr="00671B62">
        <w:rPr>
          <w:rFonts w:ascii="Times New Roman" w:eastAsia="微軟正黑體" w:hAnsi="Times New Roman" w:cs="Times New Roman"/>
        </w:rPr>
        <w:t>(2)</w:t>
      </w:r>
      <w:r w:rsidRPr="00671B62">
        <w:rPr>
          <w:rFonts w:ascii="Times New Roman" w:eastAsia="PingFang TC" w:hAnsi="Times New Roman" w:cs="Times New Roman"/>
          <w:spacing w:val="-10"/>
        </w:rPr>
        <w:t>Scoring of Evaluation Items</w:t>
      </w:r>
      <w:r w:rsidRPr="00671B62">
        <w:rPr>
          <w:rFonts w:ascii="Times New Roman" w:eastAsia="Arial Unicode MS" w:hAnsi="Times New Roman" w:cs="Times New Roman"/>
          <w:spacing w:val="-10"/>
        </w:rPr>
        <w:t>：</w:t>
      </w:r>
    </w:p>
    <w:p w14:paraId="10EA18C1" w14:textId="2DE5CB42" w:rsidR="009D5801" w:rsidRPr="00671B62" w:rsidRDefault="00074EC5" w:rsidP="005127D2">
      <w:pPr>
        <w:pStyle w:val="a3"/>
        <w:spacing w:before="35"/>
        <w:rPr>
          <w:rFonts w:ascii="微軟正黑體" w:eastAsia="微軟正黑體" w:hAnsi="微軟正黑體"/>
          <w:spacing w:val="-10"/>
        </w:rPr>
      </w:pPr>
      <w:r w:rsidRPr="00671B62">
        <w:rPr>
          <w:rFonts w:ascii="Times New Roman" w:eastAsia="Arial Unicode MS" w:hAnsi="Times New Roman" w:cs="Times New Roman" w:hint="eastAsia"/>
          <w:spacing w:val="-10"/>
        </w:rPr>
        <w:t xml:space="preserve">      </w:t>
      </w:r>
      <w:r w:rsidR="009D5801" w:rsidRPr="00671B62">
        <w:rPr>
          <w:rFonts w:ascii="Times New Roman" w:eastAsia="Arial Unicode MS" w:hAnsi="Times New Roman" w:cs="Times New Roman"/>
          <w:spacing w:val="-10"/>
        </w:rPr>
        <w:t>a</w:t>
      </w:r>
      <w:r w:rsidRPr="00671B62">
        <w:rPr>
          <w:rFonts w:ascii="Times New Roman" w:eastAsia="Arial Unicode MS" w:hAnsi="Times New Roman" w:cs="Times New Roman"/>
          <w:spacing w:val="-10"/>
        </w:rPr>
        <w:t xml:space="preserve">. </w:t>
      </w:r>
      <w:r w:rsidR="009D5801" w:rsidRPr="00671B62">
        <w:rPr>
          <w:rFonts w:ascii="Times New Roman" w:eastAsia="Times New Roman"/>
          <w:spacing w:val="-10"/>
        </w:rPr>
        <w:t>External Funding</w:t>
      </w:r>
      <w:r w:rsidR="009D5801" w:rsidRPr="00671B62">
        <w:rPr>
          <w:rFonts w:ascii="微軟正黑體" w:eastAsia="微軟正黑體" w:hAnsi="微軟正黑體" w:hint="eastAsia"/>
          <w:spacing w:val="-10"/>
        </w:rPr>
        <w:t>：</w:t>
      </w:r>
    </w:p>
    <w:p w14:paraId="26703B69" w14:textId="24D494B6" w:rsidR="0021113A" w:rsidRPr="00671B62" w:rsidRDefault="0021113A" w:rsidP="0021113A">
      <w:pPr>
        <w:pStyle w:val="a3"/>
        <w:spacing w:before="5" w:line="223" w:lineRule="auto"/>
        <w:ind w:leftChars="500" w:left="1100" w:right="232"/>
        <w:jc w:val="both"/>
        <w:rPr>
          <w:rFonts w:ascii="Times New Roman" w:hAnsi="Times New Roman" w:cs="Times New Roman"/>
        </w:rPr>
      </w:pPr>
      <w:r w:rsidRPr="00671B62">
        <w:rPr>
          <w:rFonts w:ascii="Times New Roman" w:hAnsi="Times New Roman" w:cs="Times New Roman"/>
          <w:spacing w:val="-2"/>
        </w:rPr>
        <w:t>This includes industry-academia cooperation projects (including the projects from various ministries), integrated projects of the Ministry of Science and Technology, and donations. NT$200,000 is used as a scoring unit. No point will be awarded for those less than NT$200,000. After sub-calculating according to the source of funds, the total scores will be added up.</w:t>
      </w:r>
    </w:p>
    <w:p w14:paraId="2541ED19" w14:textId="77777777" w:rsidR="0021113A" w:rsidRPr="00671B62" w:rsidRDefault="0021113A" w:rsidP="005127D2">
      <w:pPr>
        <w:pStyle w:val="a3"/>
        <w:spacing w:before="35"/>
        <w:rPr>
          <w:rFonts w:ascii="Times New Roman" w:eastAsiaTheme="minorEastAsia"/>
          <w:spacing w:val="-10"/>
        </w:rPr>
      </w:pPr>
      <w:r w:rsidRPr="00671B62">
        <w:rPr>
          <w:rFonts w:ascii="Times New Roman" w:eastAsiaTheme="minorEastAsia" w:hint="eastAsia"/>
          <w:spacing w:val="-10"/>
        </w:rPr>
        <w:t xml:space="preserve"> </w:t>
      </w:r>
      <w:r w:rsidRPr="00671B62">
        <w:rPr>
          <w:rFonts w:ascii="Times New Roman" w:eastAsiaTheme="minorEastAsia"/>
          <w:spacing w:val="-10"/>
        </w:rPr>
        <w:t xml:space="preserve">         </w:t>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4042"/>
      </w:tblGrid>
      <w:tr w:rsidR="00671B62" w:rsidRPr="00671B62" w14:paraId="0288E540" w14:textId="77777777" w:rsidTr="004709DD">
        <w:trPr>
          <w:trHeight w:val="610"/>
        </w:trPr>
        <w:tc>
          <w:tcPr>
            <w:tcW w:w="3586" w:type="dxa"/>
          </w:tcPr>
          <w:p w14:paraId="6D319106" w14:textId="18A15813" w:rsidR="0021113A" w:rsidRPr="00671B62" w:rsidRDefault="0021113A" w:rsidP="004709DD">
            <w:pPr>
              <w:pStyle w:val="TableParagraph"/>
              <w:spacing w:before="167"/>
              <w:rPr>
                <w:sz w:val="24"/>
              </w:rPr>
            </w:pPr>
            <w:r w:rsidRPr="00671B62">
              <w:rPr>
                <w:rFonts w:ascii="Times New Roman" w:hAnsi="Times New Roman" w:cs="Times New Roman"/>
                <w:spacing w:val="-2"/>
                <w:sz w:val="24"/>
                <w:szCs w:val="24"/>
              </w:rPr>
              <w:t>Source of Funds</w:t>
            </w:r>
          </w:p>
        </w:tc>
        <w:tc>
          <w:tcPr>
            <w:tcW w:w="4042" w:type="dxa"/>
          </w:tcPr>
          <w:p w14:paraId="2195952F" w14:textId="00BC9E88" w:rsidR="0021113A" w:rsidRPr="00671B62" w:rsidRDefault="0021113A" w:rsidP="004709DD">
            <w:pPr>
              <w:pStyle w:val="TableParagraph"/>
              <w:spacing w:before="167"/>
              <w:ind w:left="107"/>
              <w:rPr>
                <w:sz w:val="24"/>
              </w:rPr>
            </w:pPr>
            <w:r w:rsidRPr="00671B62">
              <w:rPr>
                <w:rFonts w:ascii="Times New Roman" w:hAnsi="Times New Roman" w:cs="Times New Roman"/>
                <w:spacing w:val="-2"/>
                <w:sz w:val="24"/>
                <w:szCs w:val="24"/>
              </w:rPr>
              <w:t>Scoring Criteria</w:t>
            </w:r>
          </w:p>
        </w:tc>
      </w:tr>
      <w:tr w:rsidR="00671B62" w:rsidRPr="00671B62" w14:paraId="35E14FDD" w14:textId="77777777" w:rsidTr="004709DD">
        <w:trPr>
          <w:trHeight w:val="1236"/>
        </w:trPr>
        <w:tc>
          <w:tcPr>
            <w:tcW w:w="3586" w:type="dxa"/>
          </w:tcPr>
          <w:p w14:paraId="28719B46" w14:textId="77777777" w:rsidR="0021113A" w:rsidRPr="00671B62" w:rsidRDefault="0021113A" w:rsidP="004709DD">
            <w:pPr>
              <w:pStyle w:val="TableParagraph"/>
              <w:spacing w:before="185" w:line="223" w:lineRule="auto"/>
              <w:ind w:right="92"/>
              <w:rPr>
                <w:sz w:val="24"/>
              </w:rPr>
            </w:pPr>
            <w:r w:rsidRPr="00671B62">
              <w:rPr>
                <w:rFonts w:ascii="Times New Roman" w:hAnsi="Times New Roman" w:cs="Times New Roman"/>
                <w:spacing w:val="-2"/>
              </w:rPr>
              <w:t>Industry-academia cooperation projects (including the projects from various ministries), integrated projects of the Ministry of Science and Technology, and donations</w:t>
            </w:r>
          </w:p>
        </w:tc>
        <w:tc>
          <w:tcPr>
            <w:tcW w:w="4042" w:type="dxa"/>
          </w:tcPr>
          <w:p w14:paraId="2F56F427" w14:textId="77777777" w:rsidR="0021113A" w:rsidRPr="00671B62" w:rsidRDefault="0021113A" w:rsidP="004709DD">
            <w:pPr>
              <w:pStyle w:val="TableParagraph"/>
              <w:spacing w:before="169"/>
              <w:ind w:left="107"/>
              <w:rPr>
                <w:sz w:val="24"/>
              </w:rPr>
            </w:pPr>
            <w:r w:rsidRPr="00671B62">
              <w:rPr>
                <w:rFonts w:ascii="Times New Roman" w:hAnsi="Times New Roman" w:cs="Times New Roman"/>
                <w:spacing w:val="-2"/>
              </w:rPr>
              <w:t>3 points for every NT$200,000</w:t>
            </w:r>
          </w:p>
        </w:tc>
      </w:tr>
    </w:tbl>
    <w:p w14:paraId="03DC3508" w14:textId="155CD41C" w:rsidR="0021113A" w:rsidRPr="00671B62" w:rsidRDefault="0021113A" w:rsidP="005127D2">
      <w:pPr>
        <w:pStyle w:val="a3"/>
        <w:spacing w:before="35"/>
        <w:rPr>
          <w:rFonts w:ascii="Times New Roman" w:eastAsiaTheme="minorEastAsia" w:hint="eastAsia"/>
          <w:spacing w:val="-10"/>
        </w:rPr>
      </w:pPr>
    </w:p>
    <w:p w14:paraId="5EE8AB5F" w14:textId="1303EA39" w:rsidR="009D5801" w:rsidRPr="00671B62" w:rsidRDefault="00074EC5" w:rsidP="005127D2">
      <w:pPr>
        <w:pStyle w:val="a3"/>
        <w:spacing w:before="35"/>
        <w:rPr>
          <w:rFonts w:ascii="微軟正黑體" w:eastAsia="微軟正黑體" w:hAnsi="微軟正黑體"/>
          <w:spacing w:val="-10"/>
        </w:rPr>
      </w:pPr>
      <w:r w:rsidRPr="00671B62">
        <w:rPr>
          <w:rFonts w:ascii="Times New Roman" w:eastAsia="Times New Roman" w:hAnsi="Times New Roman" w:cs="Times New Roman"/>
          <w:spacing w:val="-10"/>
        </w:rPr>
        <w:t xml:space="preserve">      </w:t>
      </w:r>
      <w:r w:rsidR="009D5801" w:rsidRPr="00671B62">
        <w:rPr>
          <w:rFonts w:ascii="Times New Roman" w:eastAsia="Times New Roman" w:hAnsi="Times New Roman" w:cs="Times New Roman"/>
          <w:spacing w:val="-10"/>
        </w:rPr>
        <w:t>b</w:t>
      </w:r>
      <w:r w:rsidRPr="00671B62">
        <w:rPr>
          <w:rFonts w:ascii="Times New Roman" w:eastAsia="Times New Roman" w:hAnsi="Times New Roman" w:cs="Times New Roman"/>
          <w:spacing w:val="-10"/>
        </w:rPr>
        <w:t xml:space="preserve">. </w:t>
      </w:r>
      <w:r w:rsidR="009D5801" w:rsidRPr="00671B62">
        <w:rPr>
          <w:rFonts w:ascii="Times New Roman" w:hAnsi="Times New Roman" w:cs="Times New Roman"/>
          <w:spacing w:val="-2"/>
        </w:rPr>
        <w:t>Academic Publications</w:t>
      </w:r>
      <w:r w:rsidR="009D5801" w:rsidRPr="00671B62">
        <w:rPr>
          <w:rFonts w:ascii="微軟正黑體" w:eastAsia="微軟正黑體" w:hAnsi="微軟正黑體" w:hint="eastAsia"/>
          <w:spacing w:val="-10"/>
        </w:rPr>
        <w:t>：</w:t>
      </w:r>
    </w:p>
    <w:p w14:paraId="69009250" w14:textId="77777777" w:rsidR="00BC7EF0" w:rsidRPr="00671B62" w:rsidRDefault="00BC7EF0" w:rsidP="00BC7EF0">
      <w:pPr>
        <w:pStyle w:val="a3"/>
        <w:spacing w:before="0" w:line="324" w:lineRule="exact"/>
        <w:ind w:left="0" w:firstLineChars="500" w:firstLine="1090"/>
        <w:rPr>
          <w:rFonts w:ascii="Times New Roman" w:hAnsi="Times New Roman" w:cs="Times New Roman"/>
          <w:spacing w:val="-2"/>
          <w:sz w:val="22"/>
          <w:szCs w:val="22"/>
        </w:rPr>
      </w:pPr>
      <w:r w:rsidRPr="00671B62">
        <w:rPr>
          <w:rFonts w:ascii="Times New Roman" w:hAnsi="Times New Roman" w:cs="Times New Roman"/>
          <w:spacing w:val="-2"/>
          <w:sz w:val="22"/>
          <w:szCs w:val="22"/>
        </w:rPr>
        <w:t>Every paper or monograph can only be counted as one evaluation performance.</w:t>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4036"/>
      </w:tblGrid>
      <w:tr w:rsidR="00671B62" w:rsidRPr="00671B62" w14:paraId="6962E33C" w14:textId="77777777" w:rsidTr="004709DD">
        <w:trPr>
          <w:trHeight w:val="611"/>
        </w:trPr>
        <w:tc>
          <w:tcPr>
            <w:tcW w:w="3592" w:type="dxa"/>
          </w:tcPr>
          <w:p w14:paraId="5A1B53AB" w14:textId="77777777" w:rsidR="002F6611" w:rsidRPr="00671B62" w:rsidRDefault="002F6611" w:rsidP="004709DD">
            <w:pPr>
              <w:pStyle w:val="TableParagraph"/>
              <w:spacing w:before="169"/>
              <w:rPr>
                <w:sz w:val="24"/>
              </w:rPr>
            </w:pPr>
            <w:r w:rsidRPr="00671B62">
              <w:rPr>
                <w:rFonts w:ascii="Times New Roman" w:hAnsi="Times New Roman" w:cs="Times New Roman"/>
                <w:spacing w:val="-2"/>
              </w:rPr>
              <w:t>Types of Academic Publications</w:t>
            </w:r>
          </w:p>
        </w:tc>
        <w:tc>
          <w:tcPr>
            <w:tcW w:w="4036" w:type="dxa"/>
          </w:tcPr>
          <w:p w14:paraId="099D0F5C" w14:textId="77777777" w:rsidR="002F6611" w:rsidRPr="00671B62" w:rsidRDefault="002F6611" w:rsidP="004709DD">
            <w:pPr>
              <w:pStyle w:val="TableParagraph"/>
              <w:spacing w:before="169"/>
              <w:ind w:left="107"/>
              <w:rPr>
                <w:sz w:val="24"/>
              </w:rPr>
            </w:pPr>
            <w:r w:rsidRPr="00671B62">
              <w:rPr>
                <w:rFonts w:ascii="Times New Roman" w:hAnsi="Times New Roman" w:cs="Times New Roman"/>
                <w:spacing w:val="-2"/>
                <w:sz w:val="24"/>
                <w:szCs w:val="24"/>
              </w:rPr>
              <w:t>Scoring Criteria</w:t>
            </w:r>
          </w:p>
        </w:tc>
      </w:tr>
      <w:tr w:rsidR="00671B62" w:rsidRPr="00671B62" w14:paraId="3EF2C9BF" w14:textId="77777777" w:rsidTr="004709DD">
        <w:trPr>
          <w:trHeight w:val="311"/>
        </w:trPr>
        <w:tc>
          <w:tcPr>
            <w:tcW w:w="3592" w:type="dxa"/>
          </w:tcPr>
          <w:p w14:paraId="4DBDCEF0" w14:textId="77777777" w:rsidR="002F6611" w:rsidRPr="00671B62" w:rsidRDefault="002F6611" w:rsidP="004709DD">
            <w:pPr>
              <w:pStyle w:val="TableParagraph"/>
              <w:spacing w:line="292" w:lineRule="exact"/>
              <w:rPr>
                <w:sz w:val="24"/>
              </w:rPr>
            </w:pPr>
            <w:r w:rsidRPr="00671B62">
              <w:rPr>
                <w:rFonts w:ascii="Times New Roman" w:eastAsia="Times New Roman"/>
                <w:sz w:val="24"/>
              </w:rPr>
              <w:t>SCI, SCIE journals</w:t>
            </w:r>
          </w:p>
        </w:tc>
        <w:tc>
          <w:tcPr>
            <w:tcW w:w="4036" w:type="dxa"/>
          </w:tcPr>
          <w:p w14:paraId="1831861D" w14:textId="77777777" w:rsidR="002F6611" w:rsidRPr="00671B62" w:rsidRDefault="002F6611" w:rsidP="004709DD">
            <w:pPr>
              <w:pStyle w:val="TableParagraph"/>
              <w:spacing w:line="292" w:lineRule="exact"/>
              <w:ind w:left="107"/>
              <w:rPr>
                <w:sz w:val="24"/>
              </w:rPr>
            </w:pPr>
            <w:r w:rsidRPr="00671B62">
              <w:rPr>
                <w:rFonts w:ascii="Times New Roman" w:hAnsi="Times New Roman" w:cs="Times New Roman"/>
                <w:spacing w:val="-2"/>
                <w:sz w:val="24"/>
                <w:szCs w:val="24"/>
              </w:rPr>
              <w:t>1 point each; 2 points each if you reach Q1 level</w:t>
            </w:r>
          </w:p>
        </w:tc>
      </w:tr>
      <w:tr w:rsidR="00671B62" w:rsidRPr="00671B62" w14:paraId="7D0BB86E" w14:textId="77777777" w:rsidTr="004709DD">
        <w:trPr>
          <w:trHeight w:val="312"/>
        </w:trPr>
        <w:tc>
          <w:tcPr>
            <w:tcW w:w="3592" w:type="dxa"/>
          </w:tcPr>
          <w:p w14:paraId="42BCAD45" w14:textId="77777777" w:rsidR="002F6611" w:rsidRPr="00671B62" w:rsidRDefault="002F6611" w:rsidP="004709DD">
            <w:pPr>
              <w:pStyle w:val="TableParagraph"/>
              <w:spacing w:line="293" w:lineRule="exact"/>
              <w:rPr>
                <w:rFonts w:ascii="Times New Roman" w:eastAsia="Times New Roman"/>
                <w:sz w:val="24"/>
              </w:rPr>
            </w:pPr>
            <w:r w:rsidRPr="00671B62">
              <w:rPr>
                <w:rFonts w:ascii="Times New Roman" w:eastAsia="Times New Roman"/>
                <w:spacing w:val="-2"/>
                <w:sz w:val="24"/>
              </w:rPr>
              <w:t>Monograph (with ISBN)</w:t>
            </w:r>
          </w:p>
        </w:tc>
        <w:tc>
          <w:tcPr>
            <w:tcW w:w="4036" w:type="dxa"/>
          </w:tcPr>
          <w:p w14:paraId="272622A4" w14:textId="77777777" w:rsidR="002F6611" w:rsidRPr="00671B62" w:rsidRDefault="002F6611" w:rsidP="004709DD">
            <w:pPr>
              <w:pStyle w:val="TableParagraph"/>
              <w:spacing w:line="293" w:lineRule="exact"/>
              <w:ind w:left="107"/>
              <w:rPr>
                <w:sz w:val="24"/>
              </w:rPr>
            </w:pPr>
            <w:r w:rsidRPr="00671B62">
              <w:rPr>
                <w:rFonts w:ascii="Times New Roman" w:hAnsi="Times New Roman" w:cs="Times New Roman"/>
                <w:spacing w:val="-2"/>
                <w:sz w:val="24"/>
                <w:szCs w:val="24"/>
              </w:rPr>
              <w:t>4 points each</w:t>
            </w:r>
          </w:p>
        </w:tc>
      </w:tr>
    </w:tbl>
    <w:p w14:paraId="0076CF6F" w14:textId="77777777" w:rsidR="00BC7EF0" w:rsidRPr="00671B62" w:rsidRDefault="00BC7EF0" w:rsidP="005127D2">
      <w:pPr>
        <w:pStyle w:val="a3"/>
        <w:spacing w:before="35"/>
        <w:rPr>
          <w:rFonts w:ascii="Times New Roman" w:hAnsi="Times New Roman" w:cs="Times New Roman" w:hint="eastAsia"/>
          <w:spacing w:val="-2"/>
        </w:rPr>
      </w:pPr>
    </w:p>
    <w:p w14:paraId="1329AFFE" w14:textId="75E5441D" w:rsidR="009D5801" w:rsidRPr="00671B62" w:rsidRDefault="00074EC5" w:rsidP="005127D2">
      <w:pPr>
        <w:pStyle w:val="a3"/>
        <w:spacing w:before="35"/>
        <w:rPr>
          <w:rFonts w:ascii="微軟正黑體" w:eastAsia="微軟正黑體" w:hAnsi="微軟正黑體"/>
          <w:spacing w:val="-10"/>
        </w:rPr>
      </w:pPr>
      <w:r w:rsidRPr="00671B62">
        <w:rPr>
          <w:rFonts w:ascii="Times New Roman" w:eastAsia="Times New Roman" w:hAnsi="Times New Roman" w:cs="Times New Roman"/>
          <w:spacing w:val="-10"/>
        </w:rPr>
        <w:t xml:space="preserve">      </w:t>
      </w:r>
      <w:r w:rsidR="009D5801" w:rsidRPr="00671B62">
        <w:rPr>
          <w:rFonts w:ascii="Times New Roman" w:eastAsia="Times New Roman" w:hAnsi="Times New Roman" w:cs="Times New Roman"/>
          <w:spacing w:val="-10"/>
        </w:rPr>
        <w:t>c</w:t>
      </w:r>
      <w:r w:rsidRPr="00671B62">
        <w:rPr>
          <w:rFonts w:ascii="Times New Roman" w:eastAsia="Times New Roman" w:hAnsi="Times New Roman" w:cs="Times New Roman"/>
          <w:spacing w:val="-10"/>
        </w:rPr>
        <w:t>.</w:t>
      </w:r>
      <w:r w:rsidR="00247A1A" w:rsidRPr="00671B62">
        <w:rPr>
          <w:rFonts w:ascii="Times New Roman" w:eastAsia="Times New Roman"/>
          <w:spacing w:val="-2"/>
          <w:szCs w:val="22"/>
        </w:rPr>
        <w:t xml:space="preserve"> </w:t>
      </w:r>
      <w:r w:rsidR="00247A1A" w:rsidRPr="00671B62">
        <w:rPr>
          <w:rFonts w:ascii="Times New Roman" w:eastAsia="Times New Roman"/>
          <w:spacing w:val="-2"/>
          <w:szCs w:val="22"/>
        </w:rPr>
        <w:t>Academic Exchange</w:t>
      </w:r>
      <w:r w:rsidR="00247A1A" w:rsidRPr="00671B62">
        <w:rPr>
          <w:rFonts w:ascii="微軟正黑體" w:eastAsia="微軟正黑體" w:hAnsi="微軟正黑體" w:hint="eastAsia"/>
          <w:spacing w:val="-10"/>
        </w:rPr>
        <w:t>：</w:t>
      </w:r>
    </w:p>
    <w:p w14:paraId="17927B21" w14:textId="77777777" w:rsidR="00A04F40" w:rsidRPr="00671B62" w:rsidRDefault="00A04F40" w:rsidP="00A04F40">
      <w:pPr>
        <w:pStyle w:val="a3"/>
        <w:spacing w:before="0" w:line="324" w:lineRule="exact"/>
        <w:ind w:leftChars="500" w:left="1100"/>
        <w:rPr>
          <w:rFonts w:ascii="Times New Roman" w:eastAsia="Times New Roman"/>
          <w:spacing w:val="-2"/>
          <w:szCs w:val="22"/>
        </w:rPr>
      </w:pPr>
      <w:r w:rsidRPr="00671B62">
        <w:rPr>
          <w:rFonts w:ascii="Times New Roman" w:eastAsia="Times New Roman"/>
          <w:spacing w:val="-2"/>
          <w:szCs w:val="22"/>
        </w:rPr>
        <w:t>The online international conference is calculated in the same way as the domestic one.</w:t>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4"/>
        <w:gridCol w:w="4054"/>
      </w:tblGrid>
      <w:tr w:rsidR="00671B62" w:rsidRPr="00671B62" w14:paraId="2542F980" w14:textId="77777777" w:rsidTr="004709DD">
        <w:trPr>
          <w:trHeight w:val="610"/>
        </w:trPr>
        <w:tc>
          <w:tcPr>
            <w:tcW w:w="3574" w:type="dxa"/>
          </w:tcPr>
          <w:p w14:paraId="2505110E" w14:textId="4F3673FA" w:rsidR="00661D32" w:rsidRPr="00671B62" w:rsidRDefault="00661D32" w:rsidP="00661D32">
            <w:pPr>
              <w:pStyle w:val="TableParagraph"/>
              <w:spacing w:before="158"/>
              <w:rPr>
                <w:rFonts w:ascii="Times New Roman" w:eastAsiaTheme="minorEastAsia" w:hint="eastAsia"/>
                <w:spacing w:val="-2"/>
                <w:sz w:val="24"/>
              </w:rPr>
            </w:pPr>
            <w:r w:rsidRPr="00671B62">
              <w:rPr>
                <w:rFonts w:ascii="Times New Roman" w:eastAsia="Times New Roman"/>
                <w:spacing w:val="-2"/>
                <w:sz w:val="24"/>
              </w:rPr>
              <w:t>Size of conference or event</w:t>
            </w:r>
          </w:p>
        </w:tc>
        <w:tc>
          <w:tcPr>
            <w:tcW w:w="4054" w:type="dxa"/>
          </w:tcPr>
          <w:p w14:paraId="24879EFB" w14:textId="77777777" w:rsidR="00661D32" w:rsidRPr="00671B62" w:rsidRDefault="00661D32" w:rsidP="004709DD">
            <w:pPr>
              <w:pStyle w:val="TableParagraph"/>
              <w:spacing w:before="158"/>
              <w:rPr>
                <w:rFonts w:ascii="Times New Roman" w:hAnsi="Times New Roman" w:cs="Times New Roman"/>
                <w:spacing w:val="-2"/>
                <w:sz w:val="24"/>
                <w:szCs w:val="24"/>
              </w:rPr>
            </w:pPr>
            <w:r w:rsidRPr="00671B62">
              <w:rPr>
                <w:rFonts w:ascii="Times New Roman" w:hAnsi="Times New Roman" w:cs="Times New Roman"/>
                <w:spacing w:val="-2"/>
                <w:sz w:val="24"/>
                <w:szCs w:val="24"/>
              </w:rPr>
              <w:t xml:space="preserve">Scoring Criteria </w:t>
            </w:r>
          </w:p>
          <w:p w14:paraId="01EABC35" w14:textId="77777777" w:rsidR="00661D32" w:rsidRPr="00671B62" w:rsidRDefault="00661D32" w:rsidP="004709DD">
            <w:pPr>
              <w:pStyle w:val="TableParagraph"/>
              <w:spacing w:before="158"/>
              <w:rPr>
                <w:rFonts w:ascii="Times New Roman" w:eastAsia="Times New Roman"/>
                <w:sz w:val="24"/>
              </w:rPr>
            </w:pPr>
            <w:r w:rsidRPr="00671B62">
              <w:rPr>
                <w:rFonts w:ascii="Times New Roman" w:hAnsi="Times New Roman" w:cs="Times New Roman"/>
                <w:spacing w:val="-2"/>
                <w:sz w:val="24"/>
                <w:szCs w:val="24"/>
              </w:rPr>
              <w:t>(Participant number/ Score)</w:t>
            </w:r>
          </w:p>
        </w:tc>
      </w:tr>
      <w:tr w:rsidR="00671B62" w:rsidRPr="00671B62" w14:paraId="2A78E86E" w14:textId="77777777" w:rsidTr="004709DD">
        <w:trPr>
          <w:trHeight w:val="312"/>
        </w:trPr>
        <w:tc>
          <w:tcPr>
            <w:tcW w:w="3574" w:type="dxa"/>
            <w:vMerge w:val="restart"/>
          </w:tcPr>
          <w:p w14:paraId="2BD11AE9" w14:textId="77777777" w:rsidR="00661D32" w:rsidRPr="00671B62" w:rsidRDefault="00661D32" w:rsidP="004709DD">
            <w:pPr>
              <w:pStyle w:val="TableParagraph"/>
              <w:spacing w:line="315" w:lineRule="exact"/>
              <w:rPr>
                <w:sz w:val="24"/>
              </w:rPr>
            </w:pPr>
            <w:r w:rsidRPr="00671B62">
              <w:rPr>
                <w:rFonts w:ascii="Times New Roman" w:eastAsia="Times New Roman"/>
                <w:spacing w:val="-2"/>
                <w:sz w:val="24"/>
              </w:rPr>
              <w:t>Domestic conference or event</w:t>
            </w:r>
          </w:p>
        </w:tc>
        <w:tc>
          <w:tcPr>
            <w:tcW w:w="4054" w:type="dxa"/>
          </w:tcPr>
          <w:p w14:paraId="3DA97EF9" w14:textId="77777777" w:rsidR="00661D32" w:rsidRPr="00671B62" w:rsidRDefault="00661D32" w:rsidP="004709DD">
            <w:pPr>
              <w:pStyle w:val="TableParagraph"/>
              <w:spacing w:line="293" w:lineRule="exact"/>
              <w:rPr>
                <w:spacing w:val="-10"/>
                <w:sz w:val="24"/>
              </w:rPr>
            </w:pPr>
            <w:r w:rsidRPr="00671B62">
              <w:rPr>
                <w:rFonts w:ascii="Times New Roman" w:hAnsi="Times New Roman" w:cs="Times New Roman"/>
                <w:spacing w:val="-2"/>
                <w:sz w:val="24"/>
                <w:szCs w:val="24"/>
              </w:rPr>
              <w:t>Less than 10 people/ 1 point</w:t>
            </w:r>
          </w:p>
        </w:tc>
      </w:tr>
      <w:tr w:rsidR="00671B62" w:rsidRPr="00671B62" w14:paraId="0D46BB02" w14:textId="77777777" w:rsidTr="004709DD">
        <w:trPr>
          <w:trHeight w:val="311"/>
        </w:trPr>
        <w:tc>
          <w:tcPr>
            <w:tcW w:w="3574" w:type="dxa"/>
            <w:vMerge/>
            <w:tcBorders>
              <w:top w:val="nil"/>
            </w:tcBorders>
          </w:tcPr>
          <w:p w14:paraId="7B7992DB" w14:textId="77777777" w:rsidR="00661D32" w:rsidRPr="00671B62" w:rsidRDefault="00661D32" w:rsidP="004709DD">
            <w:pPr>
              <w:rPr>
                <w:sz w:val="2"/>
                <w:szCs w:val="2"/>
              </w:rPr>
            </w:pPr>
          </w:p>
        </w:tc>
        <w:tc>
          <w:tcPr>
            <w:tcW w:w="4054" w:type="dxa"/>
          </w:tcPr>
          <w:p w14:paraId="6A9C67CB" w14:textId="77777777" w:rsidR="00661D32" w:rsidRPr="00671B62" w:rsidRDefault="00661D32" w:rsidP="004709DD">
            <w:pPr>
              <w:pStyle w:val="TableParagraph"/>
              <w:spacing w:line="292" w:lineRule="exact"/>
              <w:rPr>
                <w:sz w:val="24"/>
              </w:rPr>
            </w:pPr>
            <w:r w:rsidRPr="00671B62">
              <w:rPr>
                <w:rFonts w:ascii="Times New Roman" w:hAnsi="Times New Roman" w:cs="Times New Roman"/>
                <w:spacing w:val="-2"/>
                <w:sz w:val="24"/>
                <w:szCs w:val="24"/>
              </w:rPr>
              <w:t>10~100 people/ 3 points</w:t>
            </w:r>
          </w:p>
        </w:tc>
      </w:tr>
      <w:tr w:rsidR="00671B62" w:rsidRPr="00671B62" w14:paraId="63B2D191" w14:textId="77777777" w:rsidTr="004709DD">
        <w:trPr>
          <w:trHeight w:val="312"/>
        </w:trPr>
        <w:tc>
          <w:tcPr>
            <w:tcW w:w="3574" w:type="dxa"/>
            <w:vMerge/>
            <w:tcBorders>
              <w:top w:val="nil"/>
            </w:tcBorders>
          </w:tcPr>
          <w:p w14:paraId="6D80E130" w14:textId="77777777" w:rsidR="00661D32" w:rsidRPr="00671B62" w:rsidRDefault="00661D32" w:rsidP="004709DD">
            <w:pPr>
              <w:rPr>
                <w:sz w:val="2"/>
                <w:szCs w:val="2"/>
              </w:rPr>
            </w:pPr>
          </w:p>
        </w:tc>
        <w:tc>
          <w:tcPr>
            <w:tcW w:w="4054" w:type="dxa"/>
          </w:tcPr>
          <w:p w14:paraId="6F066738" w14:textId="77777777" w:rsidR="00661D32" w:rsidRPr="00671B62" w:rsidRDefault="00661D32" w:rsidP="004709DD">
            <w:pPr>
              <w:pStyle w:val="TableParagraph"/>
              <w:spacing w:line="293" w:lineRule="exact"/>
              <w:rPr>
                <w:sz w:val="24"/>
              </w:rPr>
            </w:pPr>
            <w:r w:rsidRPr="00671B62">
              <w:rPr>
                <w:rFonts w:ascii="Times New Roman" w:hAnsi="Times New Roman" w:cs="Times New Roman"/>
                <w:spacing w:val="-2"/>
                <w:sz w:val="24"/>
                <w:szCs w:val="24"/>
              </w:rPr>
              <w:t>101~200 people/ 6 points</w:t>
            </w:r>
          </w:p>
        </w:tc>
      </w:tr>
      <w:tr w:rsidR="00671B62" w:rsidRPr="00671B62" w14:paraId="07E06B5E" w14:textId="77777777" w:rsidTr="004709DD">
        <w:trPr>
          <w:trHeight w:val="311"/>
        </w:trPr>
        <w:tc>
          <w:tcPr>
            <w:tcW w:w="3574" w:type="dxa"/>
            <w:vMerge/>
            <w:tcBorders>
              <w:top w:val="nil"/>
            </w:tcBorders>
          </w:tcPr>
          <w:p w14:paraId="5E1E9C30" w14:textId="77777777" w:rsidR="00661D32" w:rsidRPr="00671B62" w:rsidRDefault="00661D32" w:rsidP="004709DD">
            <w:pPr>
              <w:rPr>
                <w:sz w:val="2"/>
                <w:szCs w:val="2"/>
              </w:rPr>
            </w:pPr>
          </w:p>
        </w:tc>
        <w:tc>
          <w:tcPr>
            <w:tcW w:w="4054" w:type="dxa"/>
          </w:tcPr>
          <w:p w14:paraId="50CDF297" w14:textId="77777777" w:rsidR="00661D32" w:rsidRPr="00671B62" w:rsidRDefault="00661D32" w:rsidP="004709DD">
            <w:pPr>
              <w:pStyle w:val="TableParagraph"/>
              <w:spacing w:line="292" w:lineRule="exact"/>
              <w:rPr>
                <w:sz w:val="24"/>
              </w:rPr>
            </w:pPr>
            <w:r w:rsidRPr="00671B62">
              <w:rPr>
                <w:rFonts w:ascii="Times New Roman" w:hAnsi="Times New Roman" w:cs="Times New Roman"/>
                <w:spacing w:val="-2"/>
                <w:sz w:val="24"/>
                <w:szCs w:val="24"/>
              </w:rPr>
              <w:t>201 people and above/ 9 points</w:t>
            </w:r>
          </w:p>
        </w:tc>
      </w:tr>
      <w:tr w:rsidR="00671B62" w:rsidRPr="00671B62" w14:paraId="40952878" w14:textId="77777777" w:rsidTr="004709DD">
        <w:trPr>
          <w:trHeight w:val="312"/>
        </w:trPr>
        <w:tc>
          <w:tcPr>
            <w:tcW w:w="3574" w:type="dxa"/>
            <w:vMerge w:val="restart"/>
          </w:tcPr>
          <w:p w14:paraId="20A3D6E7" w14:textId="77777777" w:rsidR="00661D32" w:rsidRPr="00671B62" w:rsidRDefault="00661D32" w:rsidP="004709DD">
            <w:pPr>
              <w:pStyle w:val="TableParagraph"/>
              <w:spacing w:line="315" w:lineRule="exact"/>
              <w:rPr>
                <w:sz w:val="24"/>
              </w:rPr>
            </w:pPr>
            <w:r w:rsidRPr="00671B62">
              <w:rPr>
                <w:rFonts w:ascii="Times New Roman" w:eastAsia="Times New Roman"/>
                <w:spacing w:val="-2"/>
                <w:sz w:val="24"/>
              </w:rPr>
              <w:t>International conference or event</w:t>
            </w:r>
          </w:p>
        </w:tc>
        <w:tc>
          <w:tcPr>
            <w:tcW w:w="4054" w:type="dxa"/>
          </w:tcPr>
          <w:p w14:paraId="443501DC" w14:textId="77777777" w:rsidR="00661D32" w:rsidRPr="00671B62" w:rsidRDefault="00661D32" w:rsidP="004709DD">
            <w:pPr>
              <w:pStyle w:val="TableParagraph"/>
              <w:spacing w:line="293" w:lineRule="exact"/>
              <w:rPr>
                <w:b/>
                <w:bCs/>
                <w:sz w:val="24"/>
              </w:rPr>
            </w:pPr>
            <w:r w:rsidRPr="00671B62">
              <w:rPr>
                <w:rFonts w:ascii="Times New Roman" w:hAnsi="Times New Roman" w:cs="Times New Roman"/>
                <w:spacing w:val="-2"/>
                <w:sz w:val="24"/>
                <w:szCs w:val="24"/>
              </w:rPr>
              <w:t>100 people or less/ 10 point</w:t>
            </w:r>
          </w:p>
        </w:tc>
      </w:tr>
      <w:tr w:rsidR="00671B62" w:rsidRPr="00671B62" w14:paraId="350945E7" w14:textId="77777777" w:rsidTr="004709DD">
        <w:trPr>
          <w:trHeight w:val="311"/>
        </w:trPr>
        <w:tc>
          <w:tcPr>
            <w:tcW w:w="3574" w:type="dxa"/>
            <w:vMerge/>
            <w:tcBorders>
              <w:top w:val="nil"/>
            </w:tcBorders>
          </w:tcPr>
          <w:p w14:paraId="353E4B60" w14:textId="77777777" w:rsidR="00661D32" w:rsidRPr="00671B62" w:rsidRDefault="00661D32" w:rsidP="004709DD">
            <w:pPr>
              <w:rPr>
                <w:sz w:val="2"/>
                <w:szCs w:val="2"/>
              </w:rPr>
            </w:pPr>
          </w:p>
        </w:tc>
        <w:tc>
          <w:tcPr>
            <w:tcW w:w="4054" w:type="dxa"/>
          </w:tcPr>
          <w:p w14:paraId="3F4E2C60" w14:textId="77777777" w:rsidR="00661D32" w:rsidRPr="00671B62" w:rsidRDefault="00661D32" w:rsidP="004709DD">
            <w:pPr>
              <w:pStyle w:val="TableParagraph"/>
              <w:spacing w:line="292" w:lineRule="exact"/>
              <w:rPr>
                <w:spacing w:val="-10"/>
                <w:sz w:val="24"/>
              </w:rPr>
            </w:pPr>
            <w:r w:rsidRPr="00671B62">
              <w:rPr>
                <w:rFonts w:ascii="Times New Roman" w:hAnsi="Times New Roman" w:cs="Times New Roman"/>
                <w:spacing w:val="-2"/>
                <w:sz w:val="24"/>
                <w:szCs w:val="24"/>
              </w:rPr>
              <w:t>100~300 people/ 12 points</w:t>
            </w:r>
          </w:p>
        </w:tc>
      </w:tr>
      <w:tr w:rsidR="00671B62" w:rsidRPr="00671B62" w14:paraId="4BA14E0B" w14:textId="77777777" w:rsidTr="004709DD">
        <w:trPr>
          <w:trHeight w:val="312"/>
        </w:trPr>
        <w:tc>
          <w:tcPr>
            <w:tcW w:w="3574" w:type="dxa"/>
            <w:vMerge/>
            <w:tcBorders>
              <w:top w:val="nil"/>
            </w:tcBorders>
          </w:tcPr>
          <w:p w14:paraId="3FCB7F64" w14:textId="77777777" w:rsidR="00661D32" w:rsidRPr="00671B62" w:rsidRDefault="00661D32" w:rsidP="004709DD">
            <w:pPr>
              <w:rPr>
                <w:sz w:val="2"/>
                <w:szCs w:val="2"/>
              </w:rPr>
            </w:pPr>
          </w:p>
        </w:tc>
        <w:tc>
          <w:tcPr>
            <w:tcW w:w="4054" w:type="dxa"/>
          </w:tcPr>
          <w:p w14:paraId="2AF672DD" w14:textId="77777777" w:rsidR="00661D32" w:rsidRPr="00671B62" w:rsidRDefault="00661D32" w:rsidP="004709DD">
            <w:pPr>
              <w:pStyle w:val="TableParagraph"/>
              <w:spacing w:line="293" w:lineRule="exact"/>
              <w:rPr>
                <w:sz w:val="24"/>
              </w:rPr>
            </w:pPr>
            <w:r w:rsidRPr="00671B62">
              <w:rPr>
                <w:rFonts w:ascii="Times New Roman" w:hAnsi="Times New Roman" w:cs="Times New Roman"/>
                <w:spacing w:val="-2"/>
                <w:sz w:val="24"/>
                <w:szCs w:val="24"/>
              </w:rPr>
              <w:t>301~500 people/ 21 points</w:t>
            </w:r>
          </w:p>
        </w:tc>
      </w:tr>
      <w:tr w:rsidR="00671B62" w:rsidRPr="00671B62" w14:paraId="312ED3EF" w14:textId="77777777" w:rsidTr="004709DD">
        <w:trPr>
          <w:trHeight w:val="311"/>
        </w:trPr>
        <w:tc>
          <w:tcPr>
            <w:tcW w:w="3574" w:type="dxa"/>
            <w:vMerge/>
            <w:tcBorders>
              <w:top w:val="nil"/>
            </w:tcBorders>
          </w:tcPr>
          <w:p w14:paraId="063BD9F6" w14:textId="77777777" w:rsidR="00661D32" w:rsidRPr="00671B62" w:rsidRDefault="00661D32" w:rsidP="004709DD">
            <w:pPr>
              <w:rPr>
                <w:sz w:val="2"/>
                <w:szCs w:val="2"/>
              </w:rPr>
            </w:pPr>
          </w:p>
        </w:tc>
        <w:tc>
          <w:tcPr>
            <w:tcW w:w="4054" w:type="dxa"/>
          </w:tcPr>
          <w:p w14:paraId="51792FE2" w14:textId="77777777" w:rsidR="00661D32" w:rsidRPr="00671B62" w:rsidRDefault="00661D32" w:rsidP="004709DD">
            <w:pPr>
              <w:pStyle w:val="TableParagraph"/>
              <w:spacing w:line="292" w:lineRule="exact"/>
              <w:rPr>
                <w:b/>
                <w:bCs/>
                <w:sz w:val="24"/>
              </w:rPr>
            </w:pPr>
            <w:r w:rsidRPr="00671B62">
              <w:rPr>
                <w:rFonts w:ascii="Times New Roman" w:hAnsi="Times New Roman" w:cs="Times New Roman"/>
                <w:spacing w:val="-2"/>
                <w:sz w:val="24"/>
                <w:szCs w:val="24"/>
              </w:rPr>
              <w:t>501 people and above/ 30 points</w:t>
            </w:r>
          </w:p>
        </w:tc>
      </w:tr>
    </w:tbl>
    <w:p w14:paraId="6A108A31" w14:textId="77777777" w:rsidR="00A04F40" w:rsidRPr="00671B62" w:rsidRDefault="00A04F40" w:rsidP="005127D2">
      <w:pPr>
        <w:pStyle w:val="a3"/>
        <w:spacing w:before="35"/>
        <w:rPr>
          <w:rFonts w:ascii="微軟正黑體" w:eastAsia="微軟正黑體" w:hAnsi="微軟正黑體" w:hint="eastAsia"/>
          <w:spacing w:val="-10"/>
        </w:rPr>
      </w:pPr>
    </w:p>
    <w:p w14:paraId="5B08BDA3" w14:textId="4A6FC012" w:rsidR="00247A1A" w:rsidRPr="00671B62" w:rsidRDefault="00247A1A" w:rsidP="00247A1A">
      <w:pPr>
        <w:pStyle w:val="a3"/>
        <w:spacing w:before="35"/>
        <w:ind w:left="1265" w:hangingChars="550" w:hanging="1265"/>
        <w:rPr>
          <w:rFonts w:ascii="Times New Roman" w:eastAsia="Times New Roman"/>
          <w:spacing w:val="-2"/>
          <w:szCs w:val="22"/>
        </w:rPr>
      </w:pPr>
      <w:r w:rsidRPr="00671B62">
        <w:rPr>
          <w:rFonts w:ascii="Times New Roman" w:eastAsia="微軟正黑體" w:hAnsi="Times New Roman" w:cs="Times New Roman"/>
          <w:spacing w:val="-10"/>
        </w:rPr>
        <w:t xml:space="preserve">                 </w:t>
      </w:r>
      <w:r w:rsidR="00074EC5" w:rsidRPr="00671B62">
        <w:rPr>
          <w:rFonts w:ascii="Times New Roman" w:eastAsia="微軟正黑體" w:hAnsi="Times New Roman" w:cs="Times New Roman"/>
          <w:spacing w:val="-10"/>
        </w:rPr>
        <w:t xml:space="preserve"> </w:t>
      </w:r>
      <w:r w:rsidRPr="00671B62">
        <w:rPr>
          <w:rFonts w:ascii="Times New Roman" w:eastAsia="微軟正黑體" w:hAnsi="Times New Roman" w:cs="Times New Roman"/>
          <w:spacing w:val="-10"/>
        </w:rPr>
        <w:t>d</w:t>
      </w:r>
      <w:r w:rsidR="00074EC5" w:rsidRPr="00671B62">
        <w:rPr>
          <w:rFonts w:ascii="Times New Roman" w:eastAsia="Times New Roman"/>
          <w:spacing w:val="-2"/>
          <w:szCs w:val="22"/>
        </w:rPr>
        <w:t xml:space="preserve">.   </w:t>
      </w:r>
      <w:r w:rsidRPr="00671B62">
        <w:rPr>
          <w:rFonts w:ascii="Times New Roman" w:eastAsia="Times New Roman"/>
          <w:spacing w:val="-2"/>
          <w:szCs w:val="22"/>
        </w:rPr>
        <w:t>Other items that can manifest the value of the Center: 15 points (Reviewed and scored by the Evaluation Committee).</w:t>
      </w:r>
    </w:p>
    <w:p w14:paraId="77460A03" w14:textId="77777777" w:rsidR="00074EC5" w:rsidRPr="00671B62" w:rsidRDefault="00074EC5" w:rsidP="00247A1A">
      <w:pPr>
        <w:pStyle w:val="a3"/>
        <w:spacing w:before="35"/>
        <w:ind w:left="1320" w:hangingChars="550" w:hanging="1320"/>
        <w:rPr>
          <w:rFonts w:ascii="Times New Roman" w:eastAsia="微軟正黑體" w:hAnsi="Times New Roman" w:cs="Times New Roman"/>
        </w:rPr>
      </w:pPr>
    </w:p>
    <w:p w14:paraId="52250C04" w14:textId="4786C5A6" w:rsidR="005127D2" w:rsidRPr="00671B62" w:rsidRDefault="005127D2" w:rsidP="005127D2">
      <w:pPr>
        <w:pStyle w:val="a3"/>
        <w:spacing w:before="35"/>
        <w:ind w:left="840" w:hangingChars="350" w:hanging="840"/>
        <w:rPr>
          <w:rFonts w:ascii="Times New Roman" w:hAnsi="Times New Roman" w:cs="Times New Roman"/>
        </w:rPr>
      </w:pPr>
      <w:r w:rsidRPr="00671B62">
        <w:rPr>
          <w:rFonts w:ascii="Times New Roman" w:eastAsia="微軟正黑體" w:hAnsi="Times New Roman" w:cs="Times New Roman" w:hint="eastAsia"/>
        </w:rPr>
        <w:lastRenderedPageBreak/>
        <w:t xml:space="preserve">          (3)</w:t>
      </w:r>
      <w:r w:rsidRPr="00671B62">
        <w:rPr>
          <w:rFonts w:ascii="Times New Roman" w:hAnsi="Times New Roman" w:cs="Times New Roman"/>
        </w:rPr>
        <w:t>From the evaluation result of Research Center, if you get 75~100 points, that means “pass”, 60~74 points stand for “conditional pass”, and 59 points or less is considered “fail”.</w:t>
      </w:r>
    </w:p>
    <w:p w14:paraId="18594AD9" w14:textId="5A532157" w:rsidR="00671B62" w:rsidRPr="00671B62" w:rsidRDefault="00671B62" w:rsidP="00671B62">
      <w:pPr>
        <w:pStyle w:val="a3"/>
        <w:spacing w:before="35"/>
        <w:ind w:left="1080" w:hangingChars="450" w:hanging="1080"/>
        <w:rPr>
          <w:rFonts w:ascii="Times New Roman" w:hAnsi="Times New Roman" w:cs="Times New Roman"/>
          <w:spacing w:val="-6"/>
        </w:rPr>
      </w:pPr>
      <w:r w:rsidRPr="00671B62">
        <w:rPr>
          <w:rFonts w:ascii="Times New Roman" w:eastAsia="微軟正黑體" w:hAnsi="Times New Roman" w:cs="Times New Roman"/>
        </w:rPr>
        <w:t xml:space="preserve">              a. </w:t>
      </w:r>
      <w:r w:rsidRPr="00671B62">
        <w:rPr>
          <w:rFonts w:ascii="Times New Roman" w:hAnsi="Times New Roman" w:cs="Times New Roman"/>
          <w:spacing w:val="-6"/>
        </w:rPr>
        <w:t>When you get a “pass”, you are exempted from evaluation for two years if you get 90 points and above. If you score 75~89 points, you are exempted from being evaluated for one year.</w:t>
      </w:r>
    </w:p>
    <w:p w14:paraId="4232EBC2" w14:textId="0D5932BE" w:rsidR="00671B62" w:rsidRPr="00671B62" w:rsidRDefault="00671B62" w:rsidP="00671B62">
      <w:pPr>
        <w:pStyle w:val="a3"/>
        <w:spacing w:before="35"/>
        <w:ind w:left="1080" w:hangingChars="450" w:hanging="1080"/>
        <w:rPr>
          <w:rFonts w:ascii="Times New Roman" w:hAnsi="Times New Roman" w:cs="Times New Roman"/>
          <w:spacing w:val="-2"/>
        </w:rPr>
      </w:pPr>
      <w:r w:rsidRPr="00671B62">
        <w:rPr>
          <w:rFonts w:ascii="Times New Roman" w:eastAsia="微軟正黑體" w:hAnsi="Times New Roman" w:cs="Times New Roman"/>
        </w:rPr>
        <w:t xml:space="preserve">              b. </w:t>
      </w:r>
      <w:r w:rsidRPr="00671B62">
        <w:rPr>
          <w:rFonts w:ascii="Times New Roman" w:hAnsi="Times New Roman" w:cs="Times New Roman"/>
          <w:spacing w:val="-2"/>
        </w:rPr>
        <w:t>When the evaluation result is a “conditional pass”, the Research Center shall submit an improvement plan to the Evaluation Committee within one month after the end of the school-level meeting of the current year and send it to the evaluation committee for</w:t>
      </w:r>
      <w:r w:rsidRPr="00671B62">
        <w:rPr>
          <w:rFonts w:ascii="Times New Roman" w:hAnsi="Times New Roman" w:cs="Times New Roman" w:hint="eastAsia"/>
          <w:spacing w:val="-2"/>
        </w:rPr>
        <w:t xml:space="preserve"> </w:t>
      </w:r>
      <w:r w:rsidRPr="00671B62">
        <w:rPr>
          <w:rFonts w:ascii="Times New Roman" w:hAnsi="Times New Roman" w:cs="Times New Roman"/>
          <w:spacing w:val="-2"/>
        </w:rPr>
        <w:t>reference.</w:t>
      </w:r>
      <w:r w:rsidRPr="00671B62">
        <w:rPr>
          <w:rFonts w:ascii="Times New Roman" w:hAnsi="Times New Roman" w:cs="Times New Roman" w:hint="eastAsia"/>
          <w:spacing w:val="-2"/>
        </w:rPr>
        <w:t xml:space="preserve"> </w:t>
      </w:r>
      <w:r w:rsidRPr="00671B62">
        <w:rPr>
          <w:rFonts w:ascii="Times New Roman" w:hAnsi="Times New Roman" w:cs="Times New Roman"/>
          <w:spacing w:val="-2"/>
        </w:rPr>
        <w:t>The Office of Research and Development will report it to the first management committee in the following year for the review and will be evaluated again in the following year. The evaluation score of the following year will be half of the evaluation score of the previous year plus the current year’s score.</w:t>
      </w:r>
    </w:p>
    <w:p w14:paraId="31FC50E1" w14:textId="26E5A51D" w:rsidR="00671B62" w:rsidRPr="00671B62" w:rsidRDefault="00671B62" w:rsidP="00671B62">
      <w:pPr>
        <w:pStyle w:val="a3"/>
        <w:spacing w:before="35"/>
        <w:ind w:left="1080" w:hangingChars="450" w:hanging="1080"/>
        <w:rPr>
          <w:rFonts w:ascii="Times New Roman" w:hAnsi="Times New Roman" w:cs="Times New Roman"/>
        </w:rPr>
      </w:pPr>
      <w:r w:rsidRPr="00671B62">
        <w:rPr>
          <w:rFonts w:ascii="Times New Roman" w:eastAsia="微軟正黑體" w:hAnsi="Times New Roman" w:cs="Times New Roman"/>
        </w:rPr>
        <w:t xml:space="preserve">              c. </w:t>
      </w:r>
      <w:r w:rsidRPr="00671B62">
        <w:rPr>
          <w:rFonts w:ascii="Times New Roman" w:hAnsi="Times New Roman" w:cs="Times New Roman"/>
        </w:rPr>
        <w:t>When the evaluation is a “fail”, it will be dismissed.</w:t>
      </w:r>
    </w:p>
    <w:p w14:paraId="52FC0148" w14:textId="4865E373" w:rsidR="00671B62" w:rsidRPr="00671B62" w:rsidRDefault="00671B62" w:rsidP="00671B62">
      <w:pPr>
        <w:pStyle w:val="a3"/>
        <w:spacing w:before="35"/>
        <w:ind w:left="1080" w:hangingChars="450" w:hanging="1080"/>
        <w:rPr>
          <w:rFonts w:ascii="Times New Roman" w:eastAsia="微軟正黑體" w:hAnsi="Times New Roman" w:cs="Times New Roman"/>
        </w:rPr>
      </w:pPr>
      <w:r w:rsidRPr="00671B62">
        <w:rPr>
          <w:rFonts w:ascii="Times New Roman" w:eastAsia="微軟正黑體" w:hAnsi="Times New Roman" w:cs="Times New Roman"/>
        </w:rPr>
        <w:t xml:space="preserve">              d. </w:t>
      </w:r>
      <w:r w:rsidRPr="00671B62">
        <w:rPr>
          <w:rFonts w:ascii="Times New Roman" w:hAnsi="Times New Roman" w:cs="Times New Roman"/>
          <w:spacing w:val="-1"/>
        </w:rPr>
        <w:t>Those who fail to submit the evaluation materials will be considered as a “fail”.</w:t>
      </w:r>
    </w:p>
    <w:p w14:paraId="5D889EFA" w14:textId="331F4922" w:rsidR="005127D2" w:rsidRPr="00671B62" w:rsidRDefault="005127D2" w:rsidP="00C725F8">
      <w:pPr>
        <w:pStyle w:val="a3"/>
        <w:numPr>
          <w:ilvl w:val="0"/>
          <w:numId w:val="1"/>
        </w:numPr>
        <w:spacing w:before="176" w:line="223" w:lineRule="auto"/>
        <w:ind w:right="232"/>
        <w:jc w:val="both"/>
        <w:rPr>
          <w:rStyle w:val="q4iawc"/>
          <w:spacing w:val="-2"/>
        </w:rPr>
      </w:pPr>
      <w:r w:rsidRPr="00671B62">
        <w:rPr>
          <w:rStyle w:val="q4iawc"/>
          <w:rFonts w:ascii="Times New Roman" w:hAnsi="Times New Roman" w:cs="Times New Roman"/>
          <w:lang w:val="en"/>
        </w:rPr>
        <w:t xml:space="preserve">Suggestions for improvement of the Research Center will be followed up by the College. The improvement measures and implementation </w:t>
      </w:r>
      <w:r w:rsidRPr="00671B62">
        <w:rPr>
          <w:rStyle w:val="q4iawc"/>
          <w:rFonts w:ascii="Times New Roman" w:hAnsi="Times New Roman" w:cs="Times New Roman"/>
        </w:rPr>
        <w:t>situation</w:t>
      </w:r>
      <w:r w:rsidRPr="00671B62">
        <w:rPr>
          <w:rStyle w:val="q4iawc"/>
          <w:rFonts w:ascii="Times New Roman" w:hAnsi="Times New Roman" w:cs="Times New Roman" w:hint="eastAsia"/>
          <w:lang w:val="en"/>
        </w:rPr>
        <w:t xml:space="preserve"> </w:t>
      </w:r>
      <w:r w:rsidRPr="00671B62">
        <w:rPr>
          <w:rStyle w:val="q4iawc"/>
          <w:rFonts w:ascii="Times New Roman" w:hAnsi="Times New Roman" w:cs="Times New Roman"/>
          <w:lang w:val="en"/>
        </w:rPr>
        <w:t>will be submitted by the College to the management committee of the University’s Research Center for the first deliberation in the following year.</w:t>
      </w:r>
    </w:p>
    <w:p w14:paraId="4ABE89B8" w14:textId="77777777" w:rsidR="00AF5EB3" w:rsidRPr="00671B62" w:rsidRDefault="00AF5EB3" w:rsidP="00AF5EB3">
      <w:pPr>
        <w:pStyle w:val="a3"/>
        <w:spacing w:line="223" w:lineRule="auto"/>
        <w:ind w:right="233"/>
        <w:jc w:val="both"/>
        <w:rPr>
          <w:rStyle w:val="q4iawc"/>
          <w:rFonts w:ascii="Times New Roman" w:hAnsi="Times New Roman" w:cs="Times New Roman"/>
          <w:lang w:val="en"/>
        </w:rPr>
      </w:pPr>
      <w:r w:rsidRPr="00671B62">
        <w:rPr>
          <w:rStyle w:val="q4iawc"/>
          <w:rFonts w:ascii="Times New Roman" w:hAnsi="Times New Roman" w:cs="Times New Roman"/>
          <w:lang w:val="en"/>
        </w:rPr>
        <w:t>Those who have any objection to the evaluation result may file an appeal to the evaluation committee in writing stating the reasons and providing supporting documents within one month after the notification of the evaluation result is delivered. The Evaluation Committee needs to submit the results to the University evaluation committee for deliberation before the end of February.</w:t>
      </w:r>
    </w:p>
    <w:p w14:paraId="5245619C" w14:textId="0A2F9D2A" w:rsidR="00AF5EB3" w:rsidRPr="00671B62" w:rsidRDefault="00AF5EB3" w:rsidP="00AF5EB3">
      <w:pPr>
        <w:pStyle w:val="a3"/>
        <w:spacing w:before="176" w:line="223" w:lineRule="auto"/>
        <w:ind w:right="232"/>
        <w:jc w:val="both"/>
        <w:rPr>
          <w:rStyle w:val="q4iawc"/>
          <w:spacing w:val="-2"/>
          <w:lang w:val="en"/>
        </w:rPr>
      </w:pPr>
      <w:r w:rsidRPr="00671B62">
        <w:rPr>
          <w:rStyle w:val="q4iawc"/>
          <w:rFonts w:ascii="Times New Roman" w:hAnsi="Times New Roman" w:cs="Times New Roman"/>
          <w:lang w:val="en"/>
        </w:rPr>
        <w:t xml:space="preserve">When the Evaluation Committee accepts the </w:t>
      </w:r>
      <w:r w:rsidRPr="00671B62">
        <w:rPr>
          <w:rStyle w:val="q4iawc"/>
          <w:rFonts w:ascii="Times New Roman" w:hAnsi="Times New Roman" w:cs="Times New Roman"/>
        </w:rPr>
        <w:t>appeal</w:t>
      </w:r>
      <w:r w:rsidRPr="00671B62">
        <w:rPr>
          <w:rStyle w:val="q4iawc"/>
          <w:rFonts w:ascii="Times New Roman" w:hAnsi="Times New Roman" w:cs="Times New Roman" w:hint="eastAsia"/>
          <w:lang w:val="en"/>
        </w:rPr>
        <w:t>,</w:t>
      </w:r>
      <w:r w:rsidRPr="00671B62">
        <w:rPr>
          <w:rStyle w:val="q4iawc"/>
          <w:rFonts w:ascii="Times New Roman" w:hAnsi="Times New Roman" w:cs="Times New Roman"/>
          <w:lang w:val="en"/>
        </w:rPr>
        <w:t xml:space="preserve"> the Evaluation Committee may re-examine it in writing or on-site. The appeal is limited to one time, and after the same case is rejected, no further appeals may be filed.</w:t>
      </w:r>
    </w:p>
    <w:p w14:paraId="50BF7662" w14:textId="02448DB7" w:rsidR="000A017B" w:rsidRPr="00671B62" w:rsidRDefault="000A017B" w:rsidP="00C725F8">
      <w:pPr>
        <w:pStyle w:val="a3"/>
        <w:numPr>
          <w:ilvl w:val="0"/>
          <w:numId w:val="1"/>
        </w:numPr>
        <w:spacing w:before="176" w:line="223" w:lineRule="auto"/>
        <w:ind w:right="232"/>
        <w:jc w:val="both"/>
        <w:rPr>
          <w:rStyle w:val="q4iawc"/>
          <w:spacing w:val="-2"/>
        </w:rPr>
      </w:pPr>
      <w:r w:rsidRPr="00671B62">
        <w:rPr>
          <w:rStyle w:val="q4iawc"/>
          <w:rFonts w:ascii="Times New Roman" w:hAnsi="Times New Roman" w:cs="Times New Roman"/>
          <w:lang w:val="en"/>
        </w:rPr>
        <w:t>Matters not covered in the Guidelines shall be handled in accordance with the relevant    laws and regulations of the University.</w:t>
      </w:r>
    </w:p>
    <w:p w14:paraId="1AFD561D" w14:textId="03DD5C98" w:rsidR="000A017B" w:rsidRPr="00671B62" w:rsidRDefault="000A017B" w:rsidP="00C725F8">
      <w:pPr>
        <w:pStyle w:val="a3"/>
        <w:numPr>
          <w:ilvl w:val="0"/>
          <w:numId w:val="1"/>
        </w:numPr>
        <w:spacing w:before="176" w:line="223" w:lineRule="auto"/>
        <w:ind w:right="232"/>
        <w:jc w:val="both"/>
        <w:rPr>
          <w:spacing w:val="-2"/>
        </w:rPr>
      </w:pPr>
      <w:r w:rsidRPr="00671B62">
        <w:rPr>
          <w:rStyle w:val="q4iawc"/>
          <w:rFonts w:ascii="Times New Roman" w:hAnsi="Times New Roman" w:cs="Times New Roman"/>
          <w:lang w:val="en"/>
        </w:rPr>
        <w:t xml:space="preserve">The Guidelines shall be approved by the </w:t>
      </w:r>
      <w:r w:rsidRPr="00671B62">
        <w:rPr>
          <w:rStyle w:val="q4iawc"/>
          <w:rFonts w:ascii="Times New Roman" w:hAnsi="Times New Roman" w:cs="Times New Roman"/>
        </w:rPr>
        <w:t xml:space="preserve">Supervisory </w:t>
      </w:r>
      <w:r w:rsidRPr="00671B62">
        <w:rPr>
          <w:rStyle w:val="q4iawc"/>
          <w:rFonts w:ascii="Times New Roman" w:hAnsi="Times New Roman" w:cs="Times New Roman"/>
          <w:lang w:val="en"/>
        </w:rPr>
        <w:t xml:space="preserve">Meeting of the College and the Management Committee of the Research Center of the University and </w:t>
      </w:r>
      <w:r w:rsidRPr="00671B62">
        <w:rPr>
          <w:rFonts w:ascii="Times New Roman" w:eastAsia="標楷體" w:hAnsi="Times New Roman"/>
        </w:rPr>
        <w:t>enforced after being submitted to and approved by the President of the University. The same procedure applies to any amendment.</w:t>
      </w:r>
    </w:p>
    <w:p w14:paraId="0D211B0A" w14:textId="53A00BE8" w:rsidR="00BA0ACC" w:rsidRPr="00671B62" w:rsidRDefault="00BA0ACC" w:rsidP="00671B62">
      <w:pPr>
        <w:pStyle w:val="a3"/>
        <w:spacing w:before="35"/>
        <w:rPr>
          <w:rFonts w:hint="eastAsia"/>
          <w:spacing w:val="-3"/>
        </w:rPr>
        <w:sectPr w:rsidR="00BA0ACC" w:rsidRPr="00671B62">
          <w:type w:val="continuous"/>
          <w:pgSz w:w="11910" w:h="16840"/>
          <w:pgMar w:top="1460" w:right="1560" w:bottom="280" w:left="1680" w:header="720" w:footer="720" w:gutter="0"/>
          <w:cols w:space="720"/>
        </w:sectPr>
      </w:pPr>
      <w:bookmarkStart w:id="0" w:name="_GoBack"/>
      <w:bookmarkEnd w:id="0"/>
    </w:p>
    <w:p w14:paraId="5523539F" w14:textId="07D39B15" w:rsidR="001E69D2" w:rsidRPr="00671B62" w:rsidRDefault="001E69D2" w:rsidP="00671B62">
      <w:pPr>
        <w:pStyle w:val="a3"/>
        <w:spacing w:before="0"/>
        <w:ind w:left="0"/>
        <w:rPr>
          <w:rStyle w:val="q4iawc"/>
          <w:rFonts w:ascii="Times New Roman" w:hAnsi="Times New Roman" w:cs="Times New Roman" w:hint="eastAsia"/>
          <w:lang w:val="en"/>
        </w:rPr>
      </w:pPr>
    </w:p>
    <w:sectPr w:rsidR="001E69D2" w:rsidRPr="00671B62" w:rsidSect="00671B62">
      <w:pgSz w:w="11910" w:h="16840"/>
      <w:pgMar w:top="130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C0C4" w14:textId="77777777" w:rsidR="00B71673" w:rsidRDefault="00B71673" w:rsidP="00FB133F">
      <w:r>
        <w:separator/>
      </w:r>
    </w:p>
  </w:endnote>
  <w:endnote w:type="continuationSeparator" w:id="0">
    <w:p w14:paraId="54082CED" w14:textId="77777777" w:rsidR="00B71673" w:rsidRDefault="00B71673" w:rsidP="00FB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_HKSCS">
    <w:altName w:val="MingLiU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PingFang TC">
    <w:altName w:val="Arial Unicode MS"/>
    <w:charset w:val="88"/>
    <w:family w:val="swiss"/>
    <w:pitch w:val="variable"/>
    <w:sig w:usb0="00000000" w:usb1="7ACFFDFB" w:usb2="00000017"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6760" w14:textId="77777777" w:rsidR="00B71673" w:rsidRDefault="00B71673" w:rsidP="00FB133F">
      <w:r>
        <w:separator/>
      </w:r>
    </w:p>
  </w:footnote>
  <w:footnote w:type="continuationSeparator" w:id="0">
    <w:p w14:paraId="207E426F" w14:textId="77777777" w:rsidR="00B71673" w:rsidRDefault="00B71673" w:rsidP="00FB1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257"/>
    <w:multiLevelType w:val="hybridMultilevel"/>
    <w:tmpl w:val="1C6A5186"/>
    <w:lvl w:ilvl="0" w:tplc="D698395E">
      <w:start w:val="1"/>
      <w:numFmt w:val="decimal"/>
      <w:lvlText w:val="%1、"/>
      <w:lvlJc w:val="left"/>
      <w:pPr>
        <w:ind w:left="1557" w:hanging="360"/>
      </w:pPr>
      <w:rPr>
        <w:rFonts w:ascii="Times New Roman" w:eastAsia="Times New Roman"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 w15:restartNumberingAfterBreak="0">
    <w:nsid w:val="195928DA"/>
    <w:multiLevelType w:val="hybridMultilevel"/>
    <w:tmpl w:val="24460C3A"/>
    <w:lvl w:ilvl="0" w:tplc="C2E42E36">
      <w:start w:val="1"/>
      <w:numFmt w:val="decimal"/>
      <w:lvlText w:val="(%1)"/>
      <w:lvlJc w:val="left"/>
      <w:pPr>
        <w:ind w:left="924" w:hanging="360"/>
      </w:pPr>
      <w:rPr>
        <w:rFonts w:ascii="Times New Roman" w:eastAsia="標楷體"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7615F6F"/>
    <w:multiLevelType w:val="hybridMultilevel"/>
    <w:tmpl w:val="69A2D8B2"/>
    <w:lvl w:ilvl="0" w:tplc="EE4C9512">
      <w:start w:val="1"/>
      <w:numFmt w:val="decimal"/>
      <w:lvlText w:val="(%1)"/>
      <w:lvlJc w:val="left"/>
      <w:pPr>
        <w:ind w:left="957" w:hanging="360"/>
      </w:pPr>
      <w:rPr>
        <w:rFonts w:ascii="Times New Roman" w:eastAsiaTheme="minorEastAsia" w:hAnsi="Times New Roman" w:cs="Times New Roman"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3" w15:restartNumberingAfterBreak="0">
    <w:nsid w:val="33D23F1C"/>
    <w:multiLevelType w:val="hybridMultilevel"/>
    <w:tmpl w:val="EC8A3196"/>
    <w:lvl w:ilvl="0" w:tplc="A73879D2">
      <w:start w:val="1"/>
      <w:numFmt w:val="decimal"/>
      <w:lvlText w:val="(%1)"/>
      <w:lvlJc w:val="left"/>
      <w:pPr>
        <w:ind w:left="900" w:hanging="360"/>
      </w:pPr>
      <w:rPr>
        <w:rFonts w:ascii="Times New Roman" w:hAnsi="Times New Roman"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3989764E"/>
    <w:multiLevelType w:val="hybridMultilevel"/>
    <w:tmpl w:val="B93A6026"/>
    <w:lvl w:ilvl="0" w:tplc="1B2CD50A">
      <w:start w:val="1"/>
      <w:numFmt w:val="decimal"/>
      <w:lvlText w:val="%1."/>
      <w:lvlJc w:val="left"/>
      <w:pPr>
        <w:ind w:left="597" w:hanging="480"/>
      </w:pPr>
      <w:rPr>
        <w:rFonts w:ascii="Times New Roman" w:eastAsia="細明體_HKSCS" w:hAnsi="Times New Roman" w:cs="Times New Roman"/>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08"/>
    <w:rsid w:val="0000674E"/>
    <w:rsid w:val="00074EC5"/>
    <w:rsid w:val="000A017B"/>
    <w:rsid w:val="000A6EC4"/>
    <w:rsid w:val="00121FF3"/>
    <w:rsid w:val="001942A1"/>
    <w:rsid w:val="001A3DBF"/>
    <w:rsid w:val="001E69D2"/>
    <w:rsid w:val="0021113A"/>
    <w:rsid w:val="0023707E"/>
    <w:rsid w:val="00237BB1"/>
    <w:rsid w:val="00247A1A"/>
    <w:rsid w:val="00267D7D"/>
    <w:rsid w:val="002D10F4"/>
    <w:rsid w:val="002F6611"/>
    <w:rsid w:val="00301C08"/>
    <w:rsid w:val="00310657"/>
    <w:rsid w:val="0034357D"/>
    <w:rsid w:val="003E2089"/>
    <w:rsid w:val="00416F23"/>
    <w:rsid w:val="00420B77"/>
    <w:rsid w:val="004549F5"/>
    <w:rsid w:val="00463A33"/>
    <w:rsid w:val="00464832"/>
    <w:rsid w:val="00480EEA"/>
    <w:rsid w:val="004F7AE7"/>
    <w:rsid w:val="005127D2"/>
    <w:rsid w:val="00523C1D"/>
    <w:rsid w:val="0055441F"/>
    <w:rsid w:val="005D3786"/>
    <w:rsid w:val="00635ECB"/>
    <w:rsid w:val="00640BDC"/>
    <w:rsid w:val="00661D32"/>
    <w:rsid w:val="00671B62"/>
    <w:rsid w:val="006907C1"/>
    <w:rsid w:val="006B3BE6"/>
    <w:rsid w:val="006B6006"/>
    <w:rsid w:val="006C2769"/>
    <w:rsid w:val="006C3DAE"/>
    <w:rsid w:val="006E7651"/>
    <w:rsid w:val="0070600B"/>
    <w:rsid w:val="00784448"/>
    <w:rsid w:val="007965DD"/>
    <w:rsid w:val="007E4B7A"/>
    <w:rsid w:val="008806F6"/>
    <w:rsid w:val="00890F21"/>
    <w:rsid w:val="008D65B1"/>
    <w:rsid w:val="00925795"/>
    <w:rsid w:val="0098268F"/>
    <w:rsid w:val="009952E8"/>
    <w:rsid w:val="009D5801"/>
    <w:rsid w:val="009E1EDA"/>
    <w:rsid w:val="009F4B72"/>
    <w:rsid w:val="009F6986"/>
    <w:rsid w:val="00A043CD"/>
    <w:rsid w:val="00A04F40"/>
    <w:rsid w:val="00AF5EB3"/>
    <w:rsid w:val="00B433C8"/>
    <w:rsid w:val="00B66E61"/>
    <w:rsid w:val="00B71673"/>
    <w:rsid w:val="00B77F8D"/>
    <w:rsid w:val="00BA0ACC"/>
    <w:rsid w:val="00BA3576"/>
    <w:rsid w:val="00BA7D0C"/>
    <w:rsid w:val="00BC0B0F"/>
    <w:rsid w:val="00BC6309"/>
    <w:rsid w:val="00BC7EF0"/>
    <w:rsid w:val="00BE611B"/>
    <w:rsid w:val="00BF6402"/>
    <w:rsid w:val="00C00F7D"/>
    <w:rsid w:val="00C725F8"/>
    <w:rsid w:val="00CA58FB"/>
    <w:rsid w:val="00CA72A1"/>
    <w:rsid w:val="00D17B99"/>
    <w:rsid w:val="00D431E0"/>
    <w:rsid w:val="00DA5426"/>
    <w:rsid w:val="00E077F0"/>
    <w:rsid w:val="00EA3074"/>
    <w:rsid w:val="00EB1147"/>
    <w:rsid w:val="00EE639E"/>
    <w:rsid w:val="00EF42BD"/>
    <w:rsid w:val="00F72D41"/>
    <w:rsid w:val="00F9038E"/>
    <w:rsid w:val="00FB133F"/>
    <w:rsid w:val="00FB6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細明體_HKSCS" w:eastAsia="細明體_HKSCS" w:hAnsi="細明體_HKSCS" w:cs="細明體_HKSCS"/>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00"/>
      <w:ind w:left="597"/>
    </w:pPr>
    <w:rPr>
      <w:sz w:val="24"/>
      <w:szCs w:val="24"/>
    </w:rPr>
  </w:style>
  <w:style w:type="paragraph" w:styleId="a4">
    <w:name w:val="Title"/>
    <w:basedOn w:val="a"/>
    <w:uiPriority w:val="10"/>
    <w:qFormat/>
    <w:pPr>
      <w:spacing w:before="8"/>
      <w:ind w:left="1743" w:right="1860"/>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ind w:left="106"/>
    </w:pPr>
  </w:style>
  <w:style w:type="character" w:customStyle="1" w:styleId="q4iawc">
    <w:name w:val="q4iawc"/>
    <w:basedOn w:val="a0"/>
    <w:rsid w:val="003E2089"/>
  </w:style>
  <w:style w:type="paragraph" w:styleId="a6">
    <w:name w:val="Revision"/>
    <w:hidden/>
    <w:uiPriority w:val="99"/>
    <w:semiHidden/>
    <w:rsid w:val="00EA3074"/>
    <w:pPr>
      <w:widowControl/>
      <w:autoSpaceDE/>
      <w:autoSpaceDN/>
    </w:pPr>
    <w:rPr>
      <w:rFonts w:ascii="細明體_HKSCS" w:eastAsia="細明體_HKSCS" w:hAnsi="細明體_HKSCS" w:cs="細明體_HKSCS"/>
      <w:lang w:eastAsia="zh-TW"/>
    </w:rPr>
  </w:style>
  <w:style w:type="paragraph" w:styleId="a7">
    <w:name w:val="header"/>
    <w:basedOn w:val="a"/>
    <w:link w:val="a8"/>
    <w:uiPriority w:val="99"/>
    <w:unhideWhenUsed/>
    <w:rsid w:val="00FB133F"/>
    <w:pPr>
      <w:tabs>
        <w:tab w:val="center" w:pos="4680"/>
        <w:tab w:val="right" w:pos="9360"/>
      </w:tabs>
    </w:pPr>
  </w:style>
  <w:style w:type="character" w:customStyle="1" w:styleId="a8">
    <w:name w:val="頁首 字元"/>
    <w:basedOn w:val="a0"/>
    <w:link w:val="a7"/>
    <w:uiPriority w:val="99"/>
    <w:rsid w:val="00FB133F"/>
    <w:rPr>
      <w:rFonts w:ascii="細明體_HKSCS" w:eastAsia="細明體_HKSCS" w:hAnsi="細明體_HKSCS" w:cs="細明體_HKSCS"/>
      <w:lang w:eastAsia="zh-TW"/>
    </w:rPr>
  </w:style>
  <w:style w:type="paragraph" w:styleId="a9">
    <w:name w:val="footer"/>
    <w:basedOn w:val="a"/>
    <w:link w:val="aa"/>
    <w:uiPriority w:val="99"/>
    <w:unhideWhenUsed/>
    <w:rsid w:val="00FB133F"/>
    <w:pPr>
      <w:tabs>
        <w:tab w:val="center" w:pos="4680"/>
        <w:tab w:val="right" w:pos="9360"/>
      </w:tabs>
    </w:pPr>
  </w:style>
  <w:style w:type="character" w:customStyle="1" w:styleId="aa">
    <w:name w:val="頁尾 字元"/>
    <w:basedOn w:val="a0"/>
    <w:link w:val="a9"/>
    <w:uiPriority w:val="99"/>
    <w:rsid w:val="00FB133F"/>
    <w:rPr>
      <w:rFonts w:ascii="細明體_HKSCS" w:eastAsia="細明體_HKSCS" w:hAnsi="細明體_HKSCS" w:cs="細明體_HKSCS"/>
      <w:lang w:eastAsia="zh-TW"/>
    </w:rPr>
  </w:style>
  <w:style w:type="paragraph" w:styleId="ab">
    <w:name w:val="Balloon Text"/>
    <w:basedOn w:val="a"/>
    <w:link w:val="ac"/>
    <w:uiPriority w:val="99"/>
    <w:semiHidden/>
    <w:unhideWhenUsed/>
    <w:rsid w:val="0023707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3707E"/>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A1B2-B29B-4219-8CD4-326E0053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6168</Characters>
  <Application>Microsoft Office Word</Application>
  <DocSecurity>0</DocSecurity>
  <Lines>51</Lines>
  <Paragraphs>14</Paragraphs>
  <ScaleCrop>false</ScaleCrop>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2022-10-24T08:21:00Z</dcterms:created>
  <dcterms:modified xsi:type="dcterms:W3CDTF">2022-10-24T08:22:00Z</dcterms:modified>
</cp:coreProperties>
</file>