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00AB5" w14:textId="77777777" w:rsidR="00C16D7B" w:rsidRPr="001A4764" w:rsidRDefault="00594E5B" w:rsidP="00A00879">
      <w:pPr>
        <w:spacing w:after="0" w:line="360" w:lineRule="auto"/>
        <w:jc w:val="center"/>
        <w:rPr>
          <w:rFonts w:ascii="Times New Roman" w:eastAsia="標楷體" w:hAnsi="Times New Roman" w:cs="Times New Roman"/>
          <w:b/>
          <w:sz w:val="32"/>
          <w:szCs w:val="36"/>
        </w:rPr>
      </w:pPr>
      <w:bookmarkStart w:id="0" w:name="_Hlk137209619"/>
      <w:r w:rsidRPr="001A4764">
        <w:rPr>
          <w:rFonts w:ascii="Times New Roman" w:eastAsia="標楷體" w:hAnsi="Times New Roman" w:cs="Times New Roman"/>
          <w:b/>
          <w:sz w:val="32"/>
          <w:szCs w:val="36"/>
        </w:rPr>
        <w:t xml:space="preserve">Evaluation </w:t>
      </w:r>
      <w:r w:rsidR="0035596E" w:rsidRPr="001A4764">
        <w:rPr>
          <w:rFonts w:ascii="Times New Roman" w:eastAsia="標楷體" w:hAnsi="Times New Roman" w:cs="Times New Roman"/>
          <w:b/>
          <w:sz w:val="32"/>
          <w:szCs w:val="36"/>
        </w:rPr>
        <w:t>Guidelines</w:t>
      </w:r>
      <w:r w:rsidR="0035596E" w:rsidRPr="001A4764">
        <w:rPr>
          <w:rFonts w:ascii="Times New Roman" w:eastAsia="標楷體" w:hAnsi="Times New Roman" w:cs="Times New Roman" w:hint="eastAsia"/>
          <w:b/>
          <w:sz w:val="32"/>
          <w:szCs w:val="36"/>
        </w:rPr>
        <w:t xml:space="preserve"> </w:t>
      </w:r>
      <w:r w:rsidRPr="001A4764">
        <w:rPr>
          <w:rFonts w:ascii="Times New Roman" w:eastAsia="標楷體" w:hAnsi="Times New Roman" w:cs="Times New Roman"/>
          <w:b/>
          <w:sz w:val="32"/>
          <w:szCs w:val="36"/>
        </w:rPr>
        <w:t>for</w:t>
      </w:r>
      <w:r w:rsidR="00F4365D" w:rsidRPr="001A4764">
        <w:rPr>
          <w:rFonts w:ascii="Times New Roman" w:eastAsia="標楷體" w:hAnsi="Times New Roman" w:cs="Times New Roman"/>
          <w:b/>
          <w:sz w:val="32"/>
          <w:szCs w:val="36"/>
        </w:rPr>
        <w:t xml:space="preserve"> </w:t>
      </w:r>
      <w:r w:rsidR="00012DC2" w:rsidRPr="001A4764">
        <w:rPr>
          <w:rFonts w:ascii="Times New Roman" w:eastAsia="標楷體" w:hAnsi="Times New Roman" w:cs="Times New Roman" w:hint="eastAsia"/>
          <w:b/>
          <w:sz w:val="32"/>
          <w:szCs w:val="36"/>
        </w:rPr>
        <w:t>the</w:t>
      </w:r>
      <w:r w:rsidRPr="001A4764">
        <w:rPr>
          <w:rFonts w:ascii="Times New Roman" w:eastAsia="標楷體" w:hAnsi="Times New Roman" w:cs="Times New Roman"/>
          <w:b/>
          <w:sz w:val="32"/>
          <w:szCs w:val="36"/>
        </w:rPr>
        <w:t xml:space="preserve"> </w:t>
      </w:r>
      <w:r w:rsidR="00F4365D" w:rsidRPr="001A4764">
        <w:rPr>
          <w:rFonts w:ascii="Times New Roman" w:eastAsia="標楷體" w:hAnsi="Times New Roman" w:cs="Times New Roman"/>
          <w:b/>
          <w:sz w:val="32"/>
          <w:szCs w:val="36"/>
        </w:rPr>
        <w:t xml:space="preserve">Level 3 </w:t>
      </w:r>
      <w:r w:rsidR="002E7C28" w:rsidRPr="001A4764">
        <w:rPr>
          <w:rFonts w:ascii="Times New Roman" w:eastAsia="標楷體" w:hAnsi="Times New Roman" w:cs="Times New Roman"/>
          <w:b/>
          <w:sz w:val="32"/>
          <w:szCs w:val="36"/>
        </w:rPr>
        <w:t xml:space="preserve">Research </w:t>
      </w:r>
      <w:r w:rsidR="00F4365D" w:rsidRPr="001A4764">
        <w:rPr>
          <w:rFonts w:ascii="Times New Roman" w:eastAsia="標楷體" w:hAnsi="Times New Roman" w:cs="Times New Roman"/>
          <w:b/>
          <w:sz w:val="32"/>
          <w:szCs w:val="36"/>
        </w:rPr>
        <w:t>Task Force</w:t>
      </w:r>
      <w:r w:rsidR="002E7C28" w:rsidRPr="001A4764">
        <w:rPr>
          <w:rFonts w:ascii="Times New Roman" w:eastAsia="標楷體" w:hAnsi="Times New Roman" w:cs="Times New Roman"/>
          <w:b/>
          <w:sz w:val="32"/>
          <w:szCs w:val="36"/>
        </w:rPr>
        <w:t xml:space="preserve"> </w:t>
      </w:r>
      <w:r w:rsidR="00C16D7B" w:rsidRPr="001A4764">
        <w:rPr>
          <w:rFonts w:ascii="Times New Roman" w:eastAsia="標楷體" w:hAnsi="Times New Roman" w:cs="Times New Roman"/>
          <w:b/>
          <w:sz w:val="32"/>
          <w:szCs w:val="36"/>
        </w:rPr>
        <w:t xml:space="preserve">Centers </w:t>
      </w:r>
    </w:p>
    <w:p w14:paraId="09416329" w14:textId="3B5A8B55" w:rsidR="00340D89" w:rsidRPr="001A4764" w:rsidRDefault="00340D89" w:rsidP="00A00879">
      <w:pPr>
        <w:spacing w:after="0" w:line="360" w:lineRule="auto"/>
        <w:jc w:val="center"/>
        <w:rPr>
          <w:rFonts w:ascii="Times New Roman" w:eastAsia="標楷體" w:hAnsi="Times New Roman"/>
          <w:b/>
          <w:bCs/>
          <w:sz w:val="32"/>
          <w:szCs w:val="36"/>
        </w:rPr>
      </w:pPr>
      <w:r w:rsidRPr="001A4764">
        <w:rPr>
          <w:rFonts w:ascii="Times New Roman" w:eastAsia="標楷體" w:hAnsi="Times New Roman" w:cs="Times New Roman"/>
          <w:b/>
          <w:sz w:val="32"/>
          <w:szCs w:val="36"/>
        </w:rPr>
        <w:t xml:space="preserve">of </w:t>
      </w:r>
      <w:r w:rsidR="00012DC2" w:rsidRPr="001A4764">
        <w:rPr>
          <w:rFonts w:ascii="Times New Roman" w:eastAsia="標楷體" w:hAnsi="Times New Roman" w:cs="Times New Roman" w:hint="eastAsia"/>
          <w:b/>
          <w:sz w:val="32"/>
          <w:szCs w:val="36"/>
        </w:rPr>
        <w:t xml:space="preserve">the </w:t>
      </w:r>
      <w:r w:rsidR="0035596E" w:rsidRPr="001A4764">
        <w:rPr>
          <w:rFonts w:ascii="Times New Roman" w:eastAsia="標楷體" w:hAnsi="Times New Roman" w:cs="Times New Roman"/>
          <w:b/>
          <w:sz w:val="32"/>
          <w:szCs w:val="36"/>
        </w:rPr>
        <w:t>College of Engineering</w:t>
      </w:r>
      <w:r w:rsidR="00A222F7" w:rsidRPr="001A4764">
        <w:rPr>
          <w:rFonts w:ascii="Times New Roman" w:eastAsia="標楷體" w:hAnsi="Times New Roman"/>
          <w:b/>
          <w:bCs/>
          <w:sz w:val="32"/>
          <w:szCs w:val="36"/>
        </w:rPr>
        <w:t xml:space="preserve">, National Sun </w:t>
      </w:r>
      <w:proofErr w:type="spellStart"/>
      <w:r w:rsidR="00A222F7" w:rsidRPr="001A4764">
        <w:rPr>
          <w:rFonts w:ascii="Times New Roman" w:eastAsia="標楷體" w:hAnsi="Times New Roman"/>
          <w:b/>
          <w:bCs/>
          <w:sz w:val="32"/>
          <w:szCs w:val="36"/>
        </w:rPr>
        <w:t>Yat-sen</w:t>
      </w:r>
      <w:proofErr w:type="spellEnd"/>
      <w:r w:rsidR="00A222F7" w:rsidRPr="001A4764">
        <w:rPr>
          <w:rFonts w:ascii="Times New Roman" w:eastAsia="標楷體" w:hAnsi="Times New Roman"/>
          <w:b/>
          <w:bCs/>
          <w:sz w:val="32"/>
          <w:szCs w:val="36"/>
        </w:rPr>
        <w:t xml:space="preserve"> University</w:t>
      </w:r>
    </w:p>
    <w:bookmarkEnd w:id="0"/>
    <w:p w14:paraId="08838ED6" w14:textId="6EC43A33" w:rsidR="00BF1E8A" w:rsidRPr="001A4764" w:rsidRDefault="00BF1E8A" w:rsidP="00BF1E8A">
      <w:pPr>
        <w:wordWrap w:val="0"/>
        <w:snapToGrid w:val="0"/>
        <w:spacing w:after="0" w:line="0" w:lineRule="atLeast"/>
        <w:ind w:right="720"/>
        <w:rPr>
          <w:rFonts w:ascii="Times New Roman" w:eastAsia="標楷體" w:hAnsi="Times New Roman" w:cs="Times New Roman"/>
          <w:sz w:val="18"/>
          <w:szCs w:val="18"/>
          <w:lang w:eastAsia="zh-HK"/>
        </w:rPr>
      </w:pPr>
    </w:p>
    <w:p w14:paraId="78F99742" w14:textId="77777777" w:rsidR="00BF1E8A" w:rsidRPr="001A4764" w:rsidRDefault="00BF1E8A" w:rsidP="00A00879">
      <w:pPr>
        <w:tabs>
          <w:tab w:val="left" w:pos="142"/>
        </w:tabs>
        <w:wordWrap w:val="0"/>
        <w:snapToGrid w:val="0"/>
        <w:spacing w:after="0" w:line="0" w:lineRule="atLeast"/>
        <w:ind w:right="720"/>
        <w:rPr>
          <w:rFonts w:ascii="Times New Roman" w:eastAsia="標楷體" w:hAnsi="Times New Roman" w:cs="Times New Roman"/>
          <w:sz w:val="18"/>
          <w:szCs w:val="18"/>
          <w:lang w:eastAsia="zh-HK"/>
        </w:rPr>
      </w:pPr>
    </w:p>
    <w:p w14:paraId="3ED2266D" w14:textId="4D13B7EB" w:rsidR="00000A3D" w:rsidRPr="001A4764" w:rsidRDefault="00000A3D" w:rsidP="00A00879">
      <w:pPr>
        <w:snapToGrid w:val="0"/>
        <w:spacing w:after="0" w:line="276" w:lineRule="auto"/>
        <w:jc w:val="right"/>
        <w:rPr>
          <w:rFonts w:ascii="Times New Roman" w:eastAsia="標楷體" w:hAnsi="Times New Roman" w:cs="Times New Roman"/>
          <w:sz w:val="20"/>
          <w:szCs w:val="18"/>
          <w:lang w:eastAsia="zh-HK"/>
        </w:rPr>
      </w:pPr>
      <w:r w:rsidRPr="001A4764">
        <w:rPr>
          <w:rFonts w:ascii="Times New Roman" w:eastAsia="標楷體" w:hAnsi="Times New Roman" w:cs="Times New Roman"/>
          <w:sz w:val="20"/>
          <w:szCs w:val="18"/>
          <w:lang w:eastAsia="zh-HK"/>
        </w:rPr>
        <w:t xml:space="preserve">Formulated at the </w:t>
      </w:r>
      <w:r w:rsidR="005C2F01" w:rsidRPr="001A4764">
        <w:rPr>
          <w:rFonts w:ascii="Times New Roman" w:eastAsia="標楷體" w:hAnsi="Times New Roman" w:cs="Times New Roman"/>
          <w:sz w:val="20"/>
          <w:szCs w:val="18"/>
          <w:lang w:eastAsia="zh-HK"/>
        </w:rPr>
        <w:t>11</w:t>
      </w:r>
      <w:r w:rsidRPr="001A4764">
        <w:rPr>
          <w:rFonts w:ascii="Times New Roman" w:eastAsia="標楷體" w:hAnsi="Times New Roman" w:cs="Times New Roman"/>
          <w:sz w:val="20"/>
          <w:szCs w:val="18"/>
          <w:lang w:eastAsia="zh-HK"/>
        </w:rPr>
        <w:t xml:space="preserve">th College </w:t>
      </w:r>
      <w:r w:rsidR="005C2F01" w:rsidRPr="001A4764">
        <w:rPr>
          <w:rFonts w:ascii="Times New Roman" w:eastAsia="標楷體" w:hAnsi="Times New Roman" w:cs="Times New Roman"/>
          <w:sz w:val="20"/>
          <w:szCs w:val="18"/>
          <w:lang w:eastAsia="zh-HK"/>
        </w:rPr>
        <w:t>Executive</w:t>
      </w:r>
      <w:r w:rsidRPr="001A4764">
        <w:rPr>
          <w:rFonts w:ascii="Times New Roman" w:eastAsia="標楷體" w:hAnsi="Times New Roman" w:cs="Times New Roman"/>
          <w:sz w:val="20"/>
          <w:szCs w:val="18"/>
          <w:lang w:eastAsia="zh-HK"/>
        </w:rPr>
        <w:t xml:space="preserve"> Meeting of the 201</w:t>
      </w:r>
      <w:r w:rsidR="005C2F01" w:rsidRPr="001A4764">
        <w:rPr>
          <w:rFonts w:ascii="Times New Roman" w:eastAsia="標楷體" w:hAnsi="Times New Roman" w:cs="Times New Roman"/>
          <w:sz w:val="20"/>
          <w:szCs w:val="18"/>
          <w:lang w:eastAsia="zh-HK"/>
        </w:rPr>
        <w:t>7</w:t>
      </w:r>
      <w:r w:rsidRPr="001A4764">
        <w:rPr>
          <w:rFonts w:ascii="Times New Roman" w:eastAsia="標楷體" w:hAnsi="Times New Roman" w:cs="Times New Roman"/>
          <w:sz w:val="20"/>
          <w:szCs w:val="18"/>
          <w:lang w:eastAsia="zh-HK"/>
        </w:rPr>
        <w:t xml:space="preserve"> academic year</w:t>
      </w:r>
      <w:r w:rsidR="00C3576E" w:rsidRPr="001A4764">
        <w:rPr>
          <w:rFonts w:ascii="Times New Roman" w:eastAsia="標楷體" w:hAnsi="Times New Roman" w:cs="Times New Roman" w:hint="eastAsia"/>
          <w:sz w:val="20"/>
          <w:szCs w:val="18"/>
          <w:lang w:eastAsia="zh-HK"/>
        </w:rPr>
        <w:t xml:space="preserve"> on July 12, 2018</w:t>
      </w:r>
    </w:p>
    <w:p w14:paraId="52D1D839" w14:textId="4053ED89" w:rsidR="00755196" w:rsidRPr="001A4764" w:rsidRDefault="00755196" w:rsidP="00A00879">
      <w:pPr>
        <w:spacing w:after="0" w:line="276" w:lineRule="auto"/>
        <w:jc w:val="right"/>
        <w:rPr>
          <w:rFonts w:ascii="Times New Roman" w:eastAsia="標楷體" w:hAnsi="Times New Roman" w:cs="Times New Roman"/>
          <w:sz w:val="20"/>
          <w:szCs w:val="18"/>
          <w:lang w:eastAsia="zh-HK"/>
        </w:rPr>
      </w:pPr>
      <w:r w:rsidRPr="001A4764">
        <w:rPr>
          <w:rFonts w:ascii="Times New Roman" w:eastAsia="標楷體" w:hAnsi="Times New Roman" w:cs="Times New Roman"/>
          <w:sz w:val="20"/>
          <w:szCs w:val="18"/>
          <w:lang w:eastAsia="zh-HK"/>
        </w:rPr>
        <w:t xml:space="preserve">Amended at the </w:t>
      </w:r>
      <w:r w:rsidR="009C2BFC" w:rsidRPr="001A4764">
        <w:rPr>
          <w:rFonts w:ascii="Times New Roman" w:eastAsia="標楷體" w:hAnsi="Times New Roman" w:cs="Times New Roman"/>
          <w:sz w:val="20"/>
          <w:szCs w:val="18"/>
          <w:lang w:eastAsia="zh-HK"/>
        </w:rPr>
        <w:t xml:space="preserve">2nd </w:t>
      </w:r>
      <w:r w:rsidRPr="001A4764">
        <w:rPr>
          <w:rFonts w:ascii="Times New Roman" w:eastAsia="標楷體" w:hAnsi="Times New Roman" w:cs="Times New Roman"/>
          <w:sz w:val="20"/>
          <w:szCs w:val="18"/>
          <w:lang w:eastAsia="zh-HK"/>
        </w:rPr>
        <w:t>College Executive Meeting of the 201</w:t>
      </w:r>
      <w:r w:rsidR="00B82E89" w:rsidRPr="001A4764">
        <w:rPr>
          <w:rFonts w:ascii="Times New Roman" w:eastAsia="標楷體" w:hAnsi="Times New Roman" w:cs="Times New Roman"/>
          <w:sz w:val="20"/>
          <w:szCs w:val="18"/>
          <w:lang w:eastAsia="zh-HK"/>
        </w:rPr>
        <w:t>8</w:t>
      </w:r>
      <w:r w:rsidRPr="001A4764">
        <w:rPr>
          <w:rFonts w:ascii="Times New Roman" w:eastAsia="標楷體" w:hAnsi="Times New Roman" w:cs="Times New Roman"/>
          <w:sz w:val="20"/>
          <w:szCs w:val="18"/>
          <w:lang w:eastAsia="zh-HK"/>
        </w:rPr>
        <w:t xml:space="preserve"> academic year</w:t>
      </w:r>
      <w:r w:rsidR="00BF1E8A" w:rsidRPr="001A4764">
        <w:rPr>
          <w:rFonts w:ascii="Times New Roman" w:eastAsia="標楷體" w:hAnsi="Times New Roman" w:cs="Times New Roman" w:hint="eastAsia"/>
          <w:sz w:val="20"/>
          <w:szCs w:val="18"/>
          <w:lang w:eastAsia="zh-HK"/>
        </w:rPr>
        <w:t xml:space="preserve"> on October 12, 2</w:t>
      </w:r>
      <w:r w:rsidR="00E521B3" w:rsidRPr="001A4764">
        <w:rPr>
          <w:rFonts w:ascii="Times New Roman" w:eastAsia="標楷體" w:hAnsi="Times New Roman" w:cs="Times New Roman" w:hint="eastAsia"/>
          <w:sz w:val="20"/>
          <w:szCs w:val="18"/>
          <w:lang w:eastAsia="zh-HK"/>
        </w:rPr>
        <w:t>018</w:t>
      </w:r>
    </w:p>
    <w:p w14:paraId="6ECC7596" w14:textId="21171857" w:rsidR="00A23262" w:rsidRPr="001A4764" w:rsidRDefault="00A23262" w:rsidP="00A00879">
      <w:pPr>
        <w:spacing w:after="0" w:line="276" w:lineRule="auto"/>
        <w:jc w:val="right"/>
        <w:rPr>
          <w:rFonts w:ascii="Times New Roman" w:eastAsia="標楷體" w:hAnsi="Times New Roman" w:cs="Times New Roman"/>
          <w:sz w:val="20"/>
          <w:szCs w:val="18"/>
          <w:lang w:eastAsia="zh-HK"/>
        </w:rPr>
      </w:pPr>
      <w:r w:rsidRPr="001A4764">
        <w:rPr>
          <w:rFonts w:ascii="Times New Roman" w:eastAsia="標楷體" w:hAnsi="Times New Roman" w:cs="Times New Roman"/>
          <w:sz w:val="20"/>
          <w:szCs w:val="18"/>
          <w:lang w:eastAsia="zh-HK"/>
        </w:rPr>
        <w:t>Amended at the 6th College Executive Meeting of the 20</w:t>
      </w:r>
      <w:r w:rsidRPr="001A4764">
        <w:rPr>
          <w:rFonts w:ascii="Times New Roman" w:eastAsia="標楷體" w:hAnsi="Times New Roman" w:cs="Times New Roman" w:hint="eastAsia"/>
          <w:sz w:val="20"/>
          <w:szCs w:val="18"/>
        </w:rPr>
        <w:t>21</w:t>
      </w:r>
      <w:r w:rsidRPr="001A4764">
        <w:rPr>
          <w:rFonts w:ascii="Times New Roman" w:eastAsia="標楷體" w:hAnsi="Times New Roman" w:cs="Times New Roman"/>
          <w:sz w:val="20"/>
          <w:szCs w:val="18"/>
          <w:lang w:eastAsia="zh-HK"/>
        </w:rPr>
        <w:t xml:space="preserve"> academic year</w:t>
      </w:r>
      <w:r w:rsidRPr="001A4764">
        <w:rPr>
          <w:rFonts w:ascii="Times New Roman" w:eastAsia="標楷體" w:hAnsi="Times New Roman" w:cs="Times New Roman" w:hint="eastAsia"/>
          <w:sz w:val="20"/>
          <w:szCs w:val="18"/>
          <w:lang w:eastAsia="zh-HK"/>
        </w:rPr>
        <w:t xml:space="preserve"> on </w:t>
      </w:r>
      <w:r w:rsidRPr="001A4764">
        <w:rPr>
          <w:rFonts w:ascii="Times New Roman" w:eastAsia="標楷體" w:hAnsi="Times New Roman" w:cs="Times New Roman"/>
          <w:sz w:val="20"/>
          <w:szCs w:val="18"/>
          <w:lang w:eastAsia="zh-HK"/>
        </w:rPr>
        <w:t>June</w:t>
      </w:r>
      <w:r w:rsidRPr="001A4764">
        <w:rPr>
          <w:rFonts w:ascii="Times New Roman" w:eastAsia="標楷體" w:hAnsi="Times New Roman" w:cs="Times New Roman" w:hint="eastAsia"/>
          <w:sz w:val="20"/>
          <w:szCs w:val="18"/>
          <w:lang w:eastAsia="zh-HK"/>
        </w:rPr>
        <w:t xml:space="preserve"> 1</w:t>
      </w:r>
      <w:r w:rsidR="00E422F3" w:rsidRPr="001A4764">
        <w:rPr>
          <w:rFonts w:ascii="Times New Roman" w:eastAsia="標楷體" w:hAnsi="Times New Roman" w:cs="Times New Roman" w:hint="eastAsia"/>
          <w:sz w:val="20"/>
          <w:szCs w:val="18"/>
        </w:rPr>
        <w:t>5</w:t>
      </w:r>
      <w:r w:rsidRPr="001A4764">
        <w:rPr>
          <w:rFonts w:ascii="Times New Roman" w:eastAsia="標楷體" w:hAnsi="Times New Roman" w:cs="Times New Roman" w:hint="eastAsia"/>
          <w:sz w:val="20"/>
          <w:szCs w:val="18"/>
          <w:lang w:eastAsia="zh-HK"/>
        </w:rPr>
        <w:t>, 20</w:t>
      </w:r>
      <w:r w:rsidRPr="001A4764">
        <w:rPr>
          <w:rFonts w:ascii="Times New Roman" w:eastAsia="標楷體" w:hAnsi="Times New Roman" w:cs="Times New Roman" w:hint="eastAsia"/>
          <w:sz w:val="20"/>
          <w:szCs w:val="18"/>
        </w:rPr>
        <w:t>22</w:t>
      </w:r>
    </w:p>
    <w:p w14:paraId="419362EF" w14:textId="4774C300" w:rsidR="00A23262" w:rsidRPr="001A4764" w:rsidRDefault="00A23262" w:rsidP="00A00879">
      <w:pPr>
        <w:spacing w:after="0" w:line="276" w:lineRule="auto"/>
        <w:jc w:val="right"/>
        <w:rPr>
          <w:rFonts w:ascii="Times New Roman" w:eastAsia="標楷體" w:hAnsi="Times New Roman" w:cs="Times New Roman"/>
          <w:sz w:val="20"/>
          <w:szCs w:val="18"/>
          <w:lang w:eastAsia="zh-HK"/>
        </w:rPr>
      </w:pPr>
      <w:r w:rsidRPr="001A4764">
        <w:rPr>
          <w:rFonts w:ascii="Times New Roman" w:eastAsia="標楷體" w:hAnsi="Times New Roman" w:cs="Times New Roman"/>
          <w:sz w:val="20"/>
          <w:szCs w:val="18"/>
          <w:lang w:eastAsia="zh-HK"/>
        </w:rPr>
        <w:t xml:space="preserve">Amended at the </w:t>
      </w:r>
      <w:r w:rsidR="00E422F3" w:rsidRPr="001A4764">
        <w:rPr>
          <w:rFonts w:ascii="Times New Roman" w:eastAsia="標楷體" w:hAnsi="Times New Roman" w:cs="Times New Roman" w:hint="eastAsia"/>
          <w:sz w:val="20"/>
          <w:szCs w:val="18"/>
        </w:rPr>
        <w:t>1</w:t>
      </w:r>
      <w:r w:rsidR="00E422F3" w:rsidRPr="001A4764">
        <w:rPr>
          <w:rFonts w:ascii="Times New Roman" w:eastAsia="標楷體" w:hAnsi="Times New Roman" w:cs="Times New Roman"/>
          <w:sz w:val="20"/>
          <w:szCs w:val="18"/>
          <w:lang w:eastAsia="zh-HK"/>
        </w:rPr>
        <w:t>st</w:t>
      </w:r>
      <w:r w:rsidRPr="001A4764">
        <w:rPr>
          <w:rFonts w:ascii="Times New Roman" w:eastAsia="標楷體" w:hAnsi="Times New Roman" w:cs="Times New Roman"/>
          <w:sz w:val="20"/>
          <w:szCs w:val="18"/>
          <w:lang w:eastAsia="zh-HK"/>
        </w:rPr>
        <w:t xml:space="preserve"> College Executive Meeting of the 20</w:t>
      </w:r>
      <w:r w:rsidR="00E422F3" w:rsidRPr="001A4764">
        <w:rPr>
          <w:rFonts w:ascii="Times New Roman" w:eastAsia="標楷體" w:hAnsi="Times New Roman" w:cs="Times New Roman"/>
          <w:sz w:val="20"/>
          <w:szCs w:val="18"/>
          <w:lang w:eastAsia="zh-HK"/>
        </w:rPr>
        <w:t>22</w:t>
      </w:r>
      <w:r w:rsidRPr="001A4764">
        <w:rPr>
          <w:rFonts w:ascii="Times New Roman" w:eastAsia="標楷體" w:hAnsi="Times New Roman" w:cs="Times New Roman"/>
          <w:sz w:val="20"/>
          <w:szCs w:val="18"/>
          <w:lang w:eastAsia="zh-HK"/>
        </w:rPr>
        <w:t xml:space="preserve"> academic year</w:t>
      </w:r>
      <w:r w:rsidRPr="001A4764">
        <w:rPr>
          <w:rFonts w:ascii="Times New Roman" w:eastAsia="標楷體" w:hAnsi="Times New Roman" w:cs="Times New Roman" w:hint="eastAsia"/>
          <w:sz w:val="20"/>
          <w:szCs w:val="18"/>
          <w:lang w:eastAsia="zh-HK"/>
        </w:rPr>
        <w:t xml:space="preserve"> on </w:t>
      </w:r>
      <w:r w:rsidR="00E422F3" w:rsidRPr="001A4764">
        <w:rPr>
          <w:rFonts w:ascii="Times New Roman" w:eastAsia="標楷體" w:hAnsi="Times New Roman" w:cs="Times New Roman"/>
          <w:sz w:val="20"/>
          <w:szCs w:val="18"/>
          <w:lang w:eastAsia="zh-HK"/>
        </w:rPr>
        <w:t>August</w:t>
      </w:r>
      <w:r w:rsidRPr="001A4764">
        <w:rPr>
          <w:rFonts w:ascii="Times New Roman" w:eastAsia="標楷體" w:hAnsi="Times New Roman" w:cs="Times New Roman" w:hint="eastAsia"/>
          <w:sz w:val="20"/>
          <w:szCs w:val="18"/>
          <w:lang w:eastAsia="zh-HK"/>
        </w:rPr>
        <w:t xml:space="preserve"> 1, </w:t>
      </w:r>
      <w:r w:rsidR="00E422F3" w:rsidRPr="001A4764">
        <w:rPr>
          <w:rFonts w:ascii="Times New Roman" w:eastAsia="標楷體" w:hAnsi="Times New Roman" w:cs="Times New Roman"/>
          <w:sz w:val="20"/>
          <w:szCs w:val="18"/>
          <w:lang w:eastAsia="zh-HK"/>
        </w:rPr>
        <w:t>2022</w:t>
      </w:r>
    </w:p>
    <w:p w14:paraId="3D5C6BA2" w14:textId="267CCCE0" w:rsidR="00E422F3" w:rsidRPr="001A4764" w:rsidRDefault="00E422F3" w:rsidP="00A00879">
      <w:pPr>
        <w:spacing w:after="0" w:line="276" w:lineRule="auto"/>
        <w:jc w:val="right"/>
        <w:rPr>
          <w:rFonts w:ascii="Times New Roman" w:eastAsia="標楷體" w:hAnsi="Times New Roman" w:cs="Times New Roman"/>
          <w:sz w:val="20"/>
          <w:szCs w:val="18"/>
          <w:lang w:eastAsia="zh-HK"/>
        </w:rPr>
      </w:pPr>
      <w:r w:rsidRPr="001A4764">
        <w:rPr>
          <w:rFonts w:ascii="Times New Roman" w:eastAsia="標楷體" w:hAnsi="Times New Roman" w:cs="Times New Roman"/>
          <w:sz w:val="20"/>
          <w:szCs w:val="18"/>
          <w:lang w:eastAsia="zh-HK"/>
        </w:rPr>
        <w:t xml:space="preserve">Amended at the </w:t>
      </w:r>
      <w:r w:rsidRPr="001A4764">
        <w:rPr>
          <w:rFonts w:ascii="Times New Roman" w:eastAsia="標楷體" w:hAnsi="Times New Roman" w:cs="Times New Roman"/>
          <w:sz w:val="20"/>
          <w:szCs w:val="18"/>
        </w:rPr>
        <w:t>3rd</w:t>
      </w:r>
      <w:r w:rsidRPr="001A4764">
        <w:rPr>
          <w:rFonts w:ascii="Times New Roman" w:eastAsia="標楷體" w:hAnsi="Times New Roman" w:cs="Times New Roman"/>
          <w:sz w:val="20"/>
          <w:szCs w:val="18"/>
          <w:lang w:eastAsia="zh-HK"/>
        </w:rPr>
        <w:t xml:space="preserve"> Research Center Management Committee of the 2022 academic year</w:t>
      </w:r>
      <w:r w:rsidRPr="001A4764">
        <w:rPr>
          <w:rFonts w:ascii="Times New Roman" w:eastAsia="標楷體" w:hAnsi="Times New Roman" w:cs="Times New Roman" w:hint="eastAsia"/>
          <w:sz w:val="20"/>
          <w:szCs w:val="18"/>
          <w:lang w:eastAsia="zh-HK"/>
        </w:rPr>
        <w:t xml:space="preserve"> on </w:t>
      </w:r>
      <w:r w:rsidRPr="001A4764">
        <w:rPr>
          <w:rFonts w:ascii="Times New Roman" w:eastAsia="標楷體" w:hAnsi="Times New Roman" w:cs="Times New Roman"/>
          <w:sz w:val="20"/>
          <w:szCs w:val="18"/>
          <w:lang w:eastAsia="zh-HK"/>
        </w:rPr>
        <w:t>August</w:t>
      </w:r>
      <w:r w:rsidRPr="001A4764">
        <w:rPr>
          <w:rFonts w:ascii="Times New Roman" w:eastAsia="標楷體" w:hAnsi="Times New Roman" w:cs="Times New Roman" w:hint="eastAsia"/>
          <w:sz w:val="20"/>
          <w:szCs w:val="18"/>
          <w:lang w:eastAsia="zh-HK"/>
        </w:rPr>
        <w:t xml:space="preserve"> </w:t>
      </w:r>
      <w:r w:rsidRPr="001A4764">
        <w:rPr>
          <w:rFonts w:ascii="Times New Roman" w:eastAsia="標楷體" w:hAnsi="Times New Roman" w:cs="Times New Roman"/>
          <w:sz w:val="20"/>
          <w:szCs w:val="18"/>
          <w:lang w:eastAsia="zh-HK"/>
        </w:rPr>
        <w:t>26</w:t>
      </w:r>
      <w:r w:rsidRPr="001A4764">
        <w:rPr>
          <w:rFonts w:ascii="Times New Roman" w:eastAsia="標楷體" w:hAnsi="Times New Roman" w:cs="Times New Roman" w:hint="eastAsia"/>
          <w:sz w:val="20"/>
          <w:szCs w:val="18"/>
          <w:lang w:eastAsia="zh-HK"/>
        </w:rPr>
        <w:t xml:space="preserve">, </w:t>
      </w:r>
      <w:r w:rsidRPr="001A4764">
        <w:rPr>
          <w:rFonts w:ascii="Times New Roman" w:eastAsia="標楷體" w:hAnsi="Times New Roman" w:cs="Times New Roman"/>
          <w:sz w:val="20"/>
          <w:szCs w:val="18"/>
          <w:lang w:eastAsia="zh-HK"/>
        </w:rPr>
        <w:t>2022</w:t>
      </w:r>
    </w:p>
    <w:p w14:paraId="4FF32197" w14:textId="77777777" w:rsidR="00E422F3" w:rsidRPr="001A4764" w:rsidRDefault="00E422F3" w:rsidP="00E67C6A">
      <w:pPr>
        <w:spacing w:after="0" w:line="240" w:lineRule="atLeast"/>
        <w:jc w:val="right"/>
        <w:rPr>
          <w:rFonts w:ascii="Times New Roman" w:eastAsia="標楷體" w:hAnsi="Times New Roman" w:cs="Times New Roman"/>
          <w:sz w:val="20"/>
          <w:szCs w:val="18"/>
          <w:lang w:eastAsia="zh-HK"/>
        </w:rPr>
      </w:pPr>
    </w:p>
    <w:p w14:paraId="506CE13C" w14:textId="77777777" w:rsidR="00740FF4" w:rsidRPr="001A4764" w:rsidRDefault="00740FF4" w:rsidP="00C3576E">
      <w:pPr>
        <w:spacing w:after="0" w:line="0" w:lineRule="atLeast"/>
        <w:rPr>
          <w:rFonts w:ascii="Times New Roman" w:eastAsia="標楷體" w:hAnsi="Times New Roman" w:cs="Times New Roman"/>
          <w:sz w:val="32"/>
          <w:szCs w:val="28"/>
        </w:rPr>
      </w:pPr>
    </w:p>
    <w:p w14:paraId="0C1F271D" w14:textId="76F8AFD9" w:rsidR="00752371" w:rsidRPr="001A4764" w:rsidRDefault="003439E2" w:rsidP="00CF443A">
      <w:pPr>
        <w:pStyle w:val="a"/>
        <w:numPr>
          <w:ilvl w:val="0"/>
          <w:numId w:val="6"/>
        </w:numPr>
        <w:spacing w:after="0" w:line="0" w:lineRule="atLeast"/>
        <w:rPr>
          <w:rFonts w:ascii="Times New Roman" w:eastAsia="標楷體" w:hAnsi="Times New Roman" w:cs="Times New Roman"/>
          <w:sz w:val="24"/>
          <w:szCs w:val="28"/>
          <w:lang w:eastAsia="zh-HK"/>
        </w:rPr>
      </w:pPr>
      <w:r w:rsidRPr="001A4764">
        <w:rPr>
          <w:rFonts w:ascii="Times New Roman" w:eastAsia="標楷體" w:hAnsi="Times New Roman" w:cs="Times New Roman"/>
          <w:sz w:val="24"/>
          <w:szCs w:val="28"/>
          <w:lang w:eastAsia="zh-HK"/>
        </w:rPr>
        <w:t>To effectively manage the</w:t>
      </w:r>
      <w:r w:rsidR="00D87BD9" w:rsidRPr="001A4764">
        <w:rPr>
          <w:rFonts w:ascii="Times New Roman" w:eastAsia="標楷體" w:hAnsi="Times New Roman" w:cs="Times New Roman"/>
          <w:sz w:val="24"/>
          <w:szCs w:val="28"/>
          <w:lang w:eastAsia="zh-HK"/>
        </w:rPr>
        <w:t xml:space="preserve"> Level 3 Research Task Force</w:t>
      </w:r>
      <w:r w:rsidR="00725D20" w:rsidRPr="001A4764">
        <w:rPr>
          <w:rFonts w:ascii="Times New Roman" w:eastAsia="標楷體" w:hAnsi="Times New Roman" w:cs="Times New Roman"/>
          <w:sz w:val="24"/>
          <w:szCs w:val="28"/>
          <w:lang w:eastAsia="zh-HK"/>
        </w:rPr>
        <w:t xml:space="preserve"> Centers</w:t>
      </w:r>
      <w:r w:rsidR="00D87BD9" w:rsidRPr="001A4764">
        <w:rPr>
          <w:rFonts w:ascii="Times New Roman" w:eastAsia="標楷體" w:hAnsi="Times New Roman" w:cs="Times New Roman"/>
          <w:sz w:val="24"/>
          <w:szCs w:val="28"/>
          <w:lang w:eastAsia="zh-HK"/>
        </w:rPr>
        <w:t xml:space="preserve"> (hereinafter referred to as “the </w:t>
      </w:r>
      <w:r w:rsidR="007C7F64" w:rsidRPr="001A4764">
        <w:rPr>
          <w:rFonts w:ascii="Times New Roman" w:eastAsia="標楷體" w:hAnsi="Times New Roman"/>
          <w:sz w:val="24"/>
          <w:szCs w:val="28"/>
        </w:rPr>
        <w:t>R</w:t>
      </w:r>
      <w:r w:rsidR="00725D20" w:rsidRPr="001A4764">
        <w:rPr>
          <w:rFonts w:ascii="Times New Roman" w:eastAsia="標楷體" w:hAnsi="Times New Roman"/>
          <w:sz w:val="24"/>
          <w:szCs w:val="28"/>
          <w:lang w:eastAsia="zh-HK"/>
        </w:rPr>
        <w:t>esearch centers</w:t>
      </w:r>
      <w:r w:rsidR="00D87BD9" w:rsidRPr="001A4764">
        <w:rPr>
          <w:rFonts w:ascii="Times New Roman" w:eastAsia="標楷體" w:hAnsi="Times New Roman" w:cs="Times New Roman"/>
          <w:sz w:val="24"/>
          <w:szCs w:val="28"/>
          <w:lang w:eastAsia="zh-HK"/>
        </w:rPr>
        <w:t xml:space="preserve">”) of </w:t>
      </w:r>
      <w:r w:rsidR="00D87BD9" w:rsidRPr="001A4764">
        <w:rPr>
          <w:rFonts w:ascii="Times New Roman" w:eastAsia="標楷體" w:hAnsi="Times New Roman" w:cs="Times New Roman" w:hint="eastAsia"/>
          <w:sz w:val="24"/>
          <w:szCs w:val="28"/>
          <w:lang w:eastAsia="zh-HK"/>
        </w:rPr>
        <w:t xml:space="preserve">the </w:t>
      </w:r>
      <w:r w:rsidR="00D87BD9" w:rsidRPr="001A4764">
        <w:rPr>
          <w:rFonts w:ascii="Times New Roman" w:eastAsia="標楷體" w:hAnsi="Times New Roman" w:cs="Times New Roman"/>
          <w:sz w:val="24"/>
          <w:szCs w:val="28"/>
          <w:lang w:eastAsia="zh-HK"/>
        </w:rPr>
        <w:t>College of Engineering</w:t>
      </w:r>
      <w:r w:rsidRPr="001A4764">
        <w:rPr>
          <w:rFonts w:ascii="Times New Roman" w:eastAsia="標楷體" w:hAnsi="Times New Roman" w:cs="Times New Roman"/>
          <w:sz w:val="24"/>
          <w:szCs w:val="28"/>
          <w:lang w:eastAsia="zh-HK"/>
        </w:rPr>
        <w:t xml:space="preserve">, enhance academic achievements, external resource acquisition, and academic exchange capabilities of the College's research centers, the Guidelines are formulated in accordance with Article 10 </w:t>
      </w:r>
      <w:r w:rsidR="00D87BD9" w:rsidRPr="001A4764">
        <w:rPr>
          <w:rFonts w:ascii="Times New Roman" w:eastAsia="標楷體" w:hAnsi="Times New Roman" w:cs="Times New Roman"/>
          <w:sz w:val="24"/>
          <w:szCs w:val="28"/>
          <w:lang w:eastAsia="zh-HK"/>
        </w:rPr>
        <w:t xml:space="preserve">of </w:t>
      </w:r>
      <w:r w:rsidR="00D87BD9" w:rsidRPr="001A4764">
        <w:rPr>
          <w:rFonts w:ascii="Times New Roman" w:eastAsia="標楷體" w:hAnsi="Times New Roman" w:cs="Times New Roman" w:hint="eastAsia"/>
          <w:sz w:val="24"/>
          <w:szCs w:val="28"/>
          <w:lang w:eastAsia="zh-HK"/>
        </w:rPr>
        <w:t xml:space="preserve">the </w:t>
      </w:r>
      <w:r w:rsidR="00F37623" w:rsidRPr="001A4764">
        <w:rPr>
          <w:rFonts w:ascii="Times New Roman" w:eastAsia="標楷體" w:hAnsi="Times New Roman" w:cs="Times New Roman"/>
          <w:sz w:val="24"/>
          <w:szCs w:val="28"/>
          <w:lang w:eastAsia="zh-HK"/>
        </w:rPr>
        <w:t xml:space="preserve">University </w:t>
      </w:r>
      <w:r w:rsidR="00D87BD9" w:rsidRPr="001A4764">
        <w:rPr>
          <w:rFonts w:ascii="Times New Roman" w:eastAsia="標楷體" w:hAnsi="Times New Roman" w:cs="Times New Roman"/>
          <w:sz w:val="24"/>
          <w:szCs w:val="28"/>
          <w:lang w:eastAsia="zh-HK"/>
        </w:rPr>
        <w:t>Regulations for Review of Establishment and Abolition of Research Centers.</w:t>
      </w:r>
    </w:p>
    <w:p w14:paraId="01336D44" w14:textId="77777777" w:rsidR="00D87BD9" w:rsidRPr="001A4764" w:rsidRDefault="00D87BD9" w:rsidP="00D87BD9">
      <w:pPr>
        <w:pStyle w:val="a"/>
        <w:numPr>
          <w:ilvl w:val="0"/>
          <w:numId w:val="0"/>
        </w:numPr>
        <w:spacing w:after="0" w:line="0" w:lineRule="atLeast"/>
        <w:ind w:left="509"/>
        <w:rPr>
          <w:rFonts w:ascii="Times New Roman" w:eastAsia="標楷體" w:hAnsi="Times New Roman" w:cs="Times New Roman"/>
          <w:sz w:val="24"/>
          <w:szCs w:val="28"/>
          <w:lang w:eastAsia="zh-HK"/>
        </w:rPr>
      </w:pPr>
    </w:p>
    <w:p w14:paraId="33A2284D" w14:textId="3FE502E4" w:rsidR="00A665A3" w:rsidRPr="001A4764" w:rsidRDefault="00CF443A" w:rsidP="00A665A3">
      <w:pPr>
        <w:pStyle w:val="a"/>
        <w:numPr>
          <w:ilvl w:val="0"/>
          <w:numId w:val="6"/>
        </w:numPr>
        <w:spacing w:after="0" w:line="0" w:lineRule="atLeast"/>
        <w:rPr>
          <w:rFonts w:ascii="Times New Roman" w:eastAsia="標楷體" w:hAnsi="Times New Roman" w:cs="Times New Roman"/>
          <w:sz w:val="24"/>
          <w:szCs w:val="28"/>
        </w:rPr>
      </w:pPr>
      <w:r w:rsidRPr="001A4764">
        <w:rPr>
          <w:rFonts w:ascii="Times New Roman" w:eastAsia="標楷體" w:hAnsi="Times New Roman" w:cs="Times New Roman"/>
          <w:sz w:val="24"/>
          <w:szCs w:val="28"/>
          <w:lang w:eastAsia="zh-HK"/>
        </w:rPr>
        <w:t xml:space="preserve">The Evaluation Committee for Level </w:t>
      </w:r>
      <w:r w:rsidR="00CC079D" w:rsidRPr="001A4764">
        <w:rPr>
          <w:rFonts w:ascii="Times New Roman" w:eastAsia="標楷體" w:hAnsi="Times New Roman" w:cs="Times New Roman"/>
          <w:sz w:val="24"/>
          <w:szCs w:val="28"/>
          <w:lang w:eastAsia="zh-HK"/>
        </w:rPr>
        <w:t>3</w:t>
      </w:r>
      <w:r w:rsidRPr="001A4764">
        <w:rPr>
          <w:rFonts w:ascii="Times New Roman" w:eastAsia="標楷體" w:hAnsi="Times New Roman" w:cs="Times New Roman"/>
          <w:sz w:val="24"/>
          <w:szCs w:val="28"/>
          <w:lang w:eastAsia="zh-HK"/>
        </w:rPr>
        <w:t xml:space="preserve"> Task Group Research Centers (hereinafter referred to as the Evaluation Committee), established by the College, consists of the dean, deputy dean, and </w:t>
      </w:r>
      <w:r w:rsidR="00F37623" w:rsidRPr="001A4764">
        <w:rPr>
          <w:rFonts w:ascii="Times New Roman" w:eastAsia="標楷體" w:hAnsi="Times New Roman" w:cs="Times New Roman"/>
          <w:sz w:val="24"/>
          <w:szCs w:val="28"/>
          <w:lang w:eastAsia="zh-HK"/>
        </w:rPr>
        <w:t>heads</w:t>
      </w:r>
      <w:r w:rsidRPr="001A4764">
        <w:rPr>
          <w:rFonts w:ascii="Times New Roman" w:eastAsia="標楷體" w:hAnsi="Times New Roman" w:cs="Times New Roman"/>
          <w:sz w:val="24"/>
          <w:szCs w:val="28"/>
          <w:lang w:eastAsia="zh-HK"/>
        </w:rPr>
        <w:t xml:space="preserve"> of all departments</w:t>
      </w:r>
      <w:r w:rsidR="00F37623" w:rsidRPr="001A4764">
        <w:rPr>
          <w:rFonts w:ascii="Times New Roman" w:eastAsia="標楷體" w:hAnsi="Times New Roman" w:cs="Times New Roman"/>
          <w:sz w:val="24"/>
          <w:szCs w:val="28"/>
          <w:lang w:eastAsia="zh-HK"/>
        </w:rPr>
        <w:t>/</w:t>
      </w:r>
      <w:r w:rsidRPr="001A4764">
        <w:rPr>
          <w:rFonts w:ascii="Times New Roman" w:eastAsia="標楷體" w:hAnsi="Times New Roman" w:cs="Times New Roman"/>
          <w:sz w:val="24"/>
          <w:szCs w:val="28"/>
          <w:lang w:eastAsia="zh-HK"/>
        </w:rPr>
        <w:t>institutes of the College. The Evaluation Committee may invite one to two faculty members from outside of the College as representatives if necessary. The dean serves as the convener of meetings, which require the attendance of at least two-thirds of the total number of committee members.</w:t>
      </w:r>
    </w:p>
    <w:p w14:paraId="2E3955C8" w14:textId="77777777" w:rsidR="008E427D" w:rsidRPr="001A4764" w:rsidRDefault="008E427D" w:rsidP="008E427D">
      <w:pPr>
        <w:pStyle w:val="a"/>
        <w:numPr>
          <w:ilvl w:val="0"/>
          <w:numId w:val="0"/>
        </w:numPr>
        <w:spacing w:after="0" w:line="0" w:lineRule="atLeast"/>
        <w:ind w:left="480"/>
        <w:rPr>
          <w:rFonts w:ascii="Times New Roman" w:eastAsia="標楷體" w:hAnsi="Times New Roman" w:cs="Times New Roman"/>
          <w:sz w:val="24"/>
          <w:szCs w:val="28"/>
        </w:rPr>
      </w:pPr>
    </w:p>
    <w:p w14:paraId="3F5DD3AB" w14:textId="6F02FF51" w:rsidR="00CF443A" w:rsidRPr="001A4764" w:rsidRDefault="00CF443A" w:rsidP="002431CA">
      <w:pPr>
        <w:snapToGrid w:val="0"/>
        <w:spacing w:afterLines="50" w:after="120" w:line="240" w:lineRule="auto"/>
        <w:ind w:left="480" w:hangingChars="200" w:hanging="480"/>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III.</w:t>
      </w:r>
      <w:r w:rsidR="002431CA" w:rsidRPr="001A4764">
        <w:rPr>
          <w:rFonts w:ascii="Times New Roman" w:eastAsia="標楷體" w:hAnsi="Times New Roman"/>
          <w:sz w:val="24"/>
          <w:szCs w:val="28"/>
          <w:lang w:eastAsia="zh-HK"/>
        </w:rPr>
        <w:t xml:space="preserve"> </w:t>
      </w:r>
      <w:r w:rsidRPr="001A4764">
        <w:rPr>
          <w:rFonts w:ascii="Times New Roman" w:eastAsia="標楷體" w:hAnsi="Times New Roman"/>
          <w:sz w:val="24"/>
          <w:szCs w:val="28"/>
          <w:lang w:eastAsia="zh-HK"/>
        </w:rPr>
        <w:t xml:space="preserve">The Evaluation Committee is scheduled to </w:t>
      </w:r>
      <w:r w:rsidR="0008025E" w:rsidRPr="001A4764">
        <w:rPr>
          <w:rFonts w:ascii="Times New Roman" w:eastAsia="標楷體" w:hAnsi="Times New Roman"/>
          <w:sz w:val="24"/>
          <w:szCs w:val="28"/>
          <w:lang w:eastAsia="zh-HK"/>
        </w:rPr>
        <w:t>convene</w:t>
      </w:r>
      <w:r w:rsidRPr="001A4764">
        <w:rPr>
          <w:rFonts w:ascii="Times New Roman" w:eastAsia="標楷體" w:hAnsi="Times New Roman"/>
          <w:sz w:val="24"/>
          <w:szCs w:val="28"/>
          <w:lang w:eastAsia="zh-HK"/>
        </w:rPr>
        <w:t xml:space="preserve"> in November. </w:t>
      </w:r>
      <w:r w:rsidR="0008025E" w:rsidRPr="001A4764">
        <w:rPr>
          <w:rFonts w:ascii="Times New Roman" w:eastAsia="標楷體" w:hAnsi="Times New Roman"/>
          <w:sz w:val="24"/>
          <w:szCs w:val="28"/>
          <w:lang w:eastAsia="zh-HK"/>
        </w:rPr>
        <w:t>During the</w:t>
      </w:r>
      <w:r w:rsidRPr="001A4764">
        <w:rPr>
          <w:rFonts w:ascii="Times New Roman" w:eastAsia="標楷體" w:hAnsi="Times New Roman"/>
          <w:sz w:val="24"/>
          <w:szCs w:val="28"/>
          <w:lang w:eastAsia="zh-HK"/>
        </w:rPr>
        <w:t xml:space="preserve"> evaluation, research centers must provide the results of research or activities executed under their names in accordance with their purposes of establishment from the deadline of their previous evaluation to October 31 of the year in which the current evaluation is taking place:</w:t>
      </w:r>
    </w:p>
    <w:p w14:paraId="21CCA0F2" w14:textId="7024854D" w:rsidR="00CF443A" w:rsidRPr="001A4764" w:rsidRDefault="00CF443A" w:rsidP="00CF443A">
      <w:pPr>
        <w:snapToGrid w:val="0"/>
        <w:spacing w:line="240" w:lineRule="auto"/>
        <w:ind w:leftChars="266" w:left="864" w:hangingChars="127" w:hanging="305"/>
        <w:jc w:val="both"/>
        <w:rPr>
          <w:rFonts w:ascii="Times New Roman" w:eastAsia="標楷體" w:hAnsi="Times New Roman"/>
          <w:sz w:val="24"/>
          <w:szCs w:val="28"/>
          <w:lang w:eastAsia="zh-HK"/>
        </w:rPr>
      </w:pPr>
      <w:r w:rsidRPr="001A4764">
        <w:rPr>
          <w:rFonts w:ascii="Times New Roman" w:eastAsia="標楷體" w:hAnsi="Times New Roman" w:hint="eastAsia"/>
          <w:sz w:val="24"/>
          <w:szCs w:val="28"/>
          <w:lang w:eastAsia="zh-HK"/>
        </w:rPr>
        <w:t>(</w:t>
      </w:r>
      <w:r w:rsidRPr="001A4764">
        <w:rPr>
          <w:rFonts w:ascii="Times New Roman" w:eastAsia="標楷體" w:hAnsi="Times New Roman"/>
          <w:sz w:val="24"/>
          <w:szCs w:val="28"/>
          <w:lang w:eastAsia="zh-HK"/>
        </w:rPr>
        <w:t>I) Research centers must explain how their operational directions align with the purposes of their establishment, including manpower allocation (employment), organizational management, their involvement in domestic academic and industry-academia research, and the sustainable development of their operations.</w:t>
      </w:r>
    </w:p>
    <w:p w14:paraId="5CDBE4C1" w14:textId="6C8E4780" w:rsidR="00CF443A" w:rsidRPr="001A4764" w:rsidRDefault="00CF443A" w:rsidP="00CF443A">
      <w:pPr>
        <w:snapToGrid w:val="0"/>
        <w:spacing w:line="240" w:lineRule="auto"/>
        <w:ind w:leftChars="266" w:left="936" w:hangingChars="157" w:hanging="377"/>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(II) Research centers must identify the number and significance of their published academic results, including papers and books. The publications must have been released during the period of evaluation to be eligible for submission.</w:t>
      </w:r>
      <w:r w:rsidRPr="001A4764">
        <w:rPr>
          <w:rFonts w:ascii="Times New Roman" w:eastAsia="標楷體" w:hAnsi="Times New Roman" w:hint="eastAsia"/>
          <w:sz w:val="24"/>
          <w:szCs w:val="28"/>
        </w:rPr>
        <w:t>。</w:t>
      </w:r>
    </w:p>
    <w:p w14:paraId="57674D24" w14:textId="15C87411" w:rsidR="00CF443A" w:rsidRPr="001A4764" w:rsidRDefault="00CF443A" w:rsidP="00FC1C04">
      <w:pPr>
        <w:snapToGrid w:val="0"/>
        <w:spacing w:line="240" w:lineRule="auto"/>
        <w:ind w:leftChars="266" w:left="1020" w:hangingChars="192" w:hanging="461"/>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 xml:space="preserve">(III) Research centers must provide details on the external project funding and results they have obtained. Only projects that were contracted with National Sun </w:t>
      </w:r>
      <w:proofErr w:type="spellStart"/>
      <w:r w:rsidRPr="001A4764">
        <w:rPr>
          <w:rFonts w:ascii="Times New Roman" w:eastAsia="標楷體" w:hAnsi="Times New Roman"/>
          <w:sz w:val="24"/>
          <w:szCs w:val="28"/>
          <w:lang w:eastAsia="zh-HK"/>
        </w:rPr>
        <w:t>Yat-sen</w:t>
      </w:r>
      <w:proofErr w:type="spellEnd"/>
      <w:r w:rsidRPr="001A4764">
        <w:rPr>
          <w:rFonts w:ascii="Times New Roman" w:eastAsia="標楷體" w:hAnsi="Times New Roman"/>
          <w:sz w:val="24"/>
          <w:szCs w:val="28"/>
          <w:lang w:eastAsia="zh-HK"/>
        </w:rPr>
        <w:t xml:space="preserve"> University and executed during the evaluation period are eligible for submission.</w:t>
      </w:r>
    </w:p>
    <w:p w14:paraId="29716C5B" w14:textId="2959F668" w:rsidR="00CF443A" w:rsidRPr="001A4764" w:rsidRDefault="00CF443A" w:rsidP="006128E4">
      <w:pPr>
        <w:snapToGrid w:val="0"/>
        <w:spacing w:line="240" w:lineRule="auto"/>
        <w:ind w:leftChars="267" w:left="1041" w:hangingChars="200" w:hanging="480"/>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(IV) Research centers must identify the number and significance of their academic exchange activities, including those funded by self-raised funds and school subsidies. The activities must have been held during the period of evaluation to be eligible for submission.</w:t>
      </w:r>
    </w:p>
    <w:p w14:paraId="3A4B6065" w14:textId="7B4EC5D3" w:rsidR="00CF443A" w:rsidRPr="001A4764" w:rsidRDefault="00CF443A" w:rsidP="00CF443A">
      <w:pPr>
        <w:snapToGrid w:val="0"/>
        <w:spacing w:line="240" w:lineRule="auto"/>
        <w:ind w:leftChars="264" w:left="1005" w:hangingChars="188" w:hanging="451"/>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lastRenderedPageBreak/>
        <w:t>(V) Research centers should provide a detailed account of their income and expenses, including costs related to personnel, business operations, utilities, equipment, and use of space that are supported by the University or related colleges, departments, or graduate institutes.</w:t>
      </w:r>
    </w:p>
    <w:p w14:paraId="4B21766F" w14:textId="18082BE3" w:rsidR="00CF443A" w:rsidRPr="001A4764" w:rsidRDefault="00CF443A" w:rsidP="00CF443A">
      <w:pPr>
        <w:snapToGrid w:val="0"/>
        <w:spacing w:line="240" w:lineRule="auto"/>
        <w:ind w:leftChars="265" w:left="1017" w:hangingChars="192" w:hanging="461"/>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 xml:space="preserve">(VI) Research centers may provide information </w:t>
      </w:r>
      <w:r w:rsidRPr="001A4764">
        <w:rPr>
          <w:rFonts w:ascii="Times New Roman" w:eastAsia="標楷體" w:hAnsi="Times New Roman" w:hint="eastAsia"/>
          <w:sz w:val="24"/>
          <w:szCs w:val="28"/>
        </w:rPr>
        <w:t>o</w:t>
      </w:r>
      <w:r w:rsidRPr="001A4764">
        <w:rPr>
          <w:rFonts w:ascii="Times New Roman" w:eastAsia="標楷體" w:hAnsi="Times New Roman"/>
          <w:sz w:val="24"/>
          <w:szCs w:val="28"/>
        </w:rPr>
        <w:t>f</w:t>
      </w:r>
      <w:r w:rsidRPr="001A4764">
        <w:rPr>
          <w:rFonts w:ascii="Times New Roman" w:eastAsia="標楷體" w:hAnsi="Times New Roman"/>
          <w:sz w:val="24"/>
          <w:szCs w:val="28"/>
          <w:lang w:eastAsia="zh-HK"/>
        </w:rPr>
        <w:t xml:space="preserve"> other projects that demonstrate their strengths.</w:t>
      </w:r>
    </w:p>
    <w:p w14:paraId="111BE8DB" w14:textId="367F6B8C" w:rsidR="00CF443A" w:rsidRPr="001A4764" w:rsidRDefault="00CF443A" w:rsidP="00CF443A">
      <w:pPr>
        <w:snapToGrid w:val="0"/>
        <w:spacing w:line="240" w:lineRule="auto"/>
        <w:ind w:leftChars="262" w:left="1128" w:hangingChars="241" w:hanging="578"/>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(VII) Research centers must introduce their prospects for the following three years.</w:t>
      </w:r>
    </w:p>
    <w:p w14:paraId="147B1E09" w14:textId="77777777" w:rsidR="003B2286" w:rsidRPr="001A4764" w:rsidRDefault="00CF443A" w:rsidP="003B2286">
      <w:pPr>
        <w:spacing w:after="0"/>
        <w:rPr>
          <w:rFonts w:ascii="Times New Roman" w:eastAsia="標楷體" w:hAnsi="Times New Roman"/>
          <w:sz w:val="24"/>
          <w:szCs w:val="28"/>
          <w:lang w:eastAsia="zh-HK"/>
        </w:rPr>
      </w:pPr>
      <w:r w:rsidRPr="001A4764">
        <w:rPr>
          <w:rFonts w:ascii="Times New Roman" w:eastAsia="標楷體" w:hAnsi="Times New Roman"/>
          <w:sz w:val="24"/>
          <w:szCs w:val="28"/>
          <w:lang w:eastAsia="zh-HK"/>
        </w:rPr>
        <w:t>IV. Evaluation criteria and results</w:t>
      </w:r>
      <w:r w:rsidRPr="001A4764">
        <w:rPr>
          <w:rFonts w:ascii="Times New Roman" w:eastAsia="標楷體" w:hAnsi="Times New Roman" w:hint="eastAsia"/>
          <w:sz w:val="24"/>
          <w:szCs w:val="28"/>
        </w:rPr>
        <w:t>:</w:t>
      </w:r>
    </w:p>
    <w:p w14:paraId="4C506E5C" w14:textId="52800636" w:rsidR="00CF443A" w:rsidRPr="001A4764" w:rsidRDefault="00CF443A" w:rsidP="003B2286">
      <w:pPr>
        <w:spacing w:after="0"/>
        <w:ind w:firstLineChars="200" w:firstLine="480"/>
        <w:rPr>
          <w:rFonts w:ascii="Times New Roman" w:eastAsia="標楷體" w:hAnsi="Times New Roman"/>
          <w:sz w:val="24"/>
          <w:szCs w:val="28"/>
          <w:lang w:eastAsia="zh-HK"/>
        </w:rPr>
      </w:pPr>
      <w:r w:rsidRPr="001A4764">
        <w:rPr>
          <w:rFonts w:ascii="Times New Roman" w:eastAsia="標楷體" w:hAnsi="Times New Roman"/>
          <w:sz w:val="24"/>
          <w:szCs w:val="28"/>
          <w:lang w:eastAsia="zh-HK"/>
        </w:rPr>
        <w:t>(I) Total score</w:t>
      </w:r>
      <w:r w:rsidRPr="001A4764">
        <w:rPr>
          <w:rFonts w:ascii="Times New Roman" w:eastAsia="標楷體" w:hAnsi="Times New Roman" w:hint="eastAsia"/>
          <w:sz w:val="24"/>
          <w:szCs w:val="28"/>
        </w:rPr>
        <w:t>s</w:t>
      </w:r>
      <w:r w:rsidRPr="001A4764">
        <w:rPr>
          <w:rFonts w:ascii="Times New Roman" w:eastAsia="標楷體" w:hAnsi="Times New Roman"/>
          <w:sz w:val="24"/>
          <w:szCs w:val="28"/>
          <w:lang w:eastAsia="zh-HK"/>
        </w:rPr>
        <w:t xml:space="preserve"> and evaluation items:</w:t>
      </w:r>
    </w:p>
    <w:p w14:paraId="44A6A77F" w14:textId="77777777" w:rsidR="00CF443A" w:rsidRPr="001A4764" w:rsidRDefault="00CF443A" w:rsidP="00CF443A">
      <w:pPr>
        <w:snapToGrid w:val="0"/>
        <w:spacing w:line="240" w:lineRule="auto"/>
        <w:ind w:leftChars="513" w:left="1079" w:hanging="2"/>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The total score of evaluation is 100, and the evaluation items include external funding obtained, published academic results, academic exchange activities, and other projects that demonstrate the values of the research centers. The amount of external funding obtained must not be zero.</w:t>
      </w:r>
    </w:p>
    <w:p w14:paraId="31413B82" w14:textId="523BFFA2" w:rsidR="00CF443A" w:rsidRPr="001A4764" w:rsidRDefault="00CF443A" w:rsidP="00CF443A">
      <w:pPr>
        <w:snapToGrid w:val="0"/>
        <w:spacing w:line="240" w:lineRule="auto"/>
        <w:ind w:firstLineChars="200" w:firstLine="480"/>
        <w:rPr>
          <w:rFonts w:ascii="Times New Roman" w:eastAsia="標楷體" w:hAnsi="Times New Roman"/>
          <w:sz w:val="24"/>
          <w:szCs w:val="28"/>
          <w:lang w:eastAsia="zh-HK"/>
        </w:rPr>
      </w:pPr>
      <w:r w:rsidRPr="001A4764">
        <w:rPr>
          <w:rFonts w:ascii="Times New Roman" w:eastAsia="標楷體" w:hAnsi="Times New Roman"/>
          <w:sz w:val="24"/>
          <w:szCs w:val="28"/>
          <w:lang w:eastAsia="zh-HK"/>
        </w:rPr>
        <w:t>(II) Scoring of the evaluation items:</w:t>
      </w:r>
    </w:p>
    <w:p w14:paraId="2E94B442" w14:textId="77777777" w:rsidR="00CF443A" w:rsidRPr="001A4764" w:rsidRDefault="00CF443A" w:rsidP="00CF443A">
      <w:pPr>
        <w:numPr>
          <w:ilvl w:val="0"/>
          <w:numId w:val="7"/>
        </w:numPr>
        <w:snapToGrid w:val="0"/>
        <w:spacing w:beforeLines="50" w:before="120" w:after="0" w:line="240" w:lineRule="auto"/>
        <w:contextualSpacing/>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iCs w:val="0"/>
          <w:kern w:val="2"/>
          <w:sz w:val="24"/>
          <w:szCs w:val="24"/>
        </w:rPr>
        <w:t>External funding obtained:</w:t>
      </w:r>
    </w:p>
    <w:p w14:paraId="19D40D23" w14:textId="4142B254" w:rsidR="00CF443A" w:rsidRPr="001A4764" w:rsidRDefault="00CF443A" w:rsidP="00CF443A">
      <w:pPr>
        <w:snapToGrid w:val="0"/>
        <w:spacing w:after="119" w:line="240" w:lineRule="auto"/>
        <w:ind w:leftChars="741" w:left="1558" w:hangingChars="1" w:hanging="2"/>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iCs w:val="0"/>
          <w:kern w:val="2"/>
          <w:sz w:val="24"/>
          <w:szCs w:val="24"/>
        </w:rPr>
        <w:t xml:space="preserve">External funding sources include subsidies for industry-academia projects (including projects from various ministries and departments), subsidies for integrated research projects from the </w:t>
      </w:r>
      <w:r w:rsidR="003D7D60" w:rsidRPr="003D7D60">
        <w:rPr>
          <w:rFonts w:ascii="Times New Roman" w:eastAsia="標楷體" w:hAnsi="Times New Roman" w:cs="Times New Roman"/>
          <w:iCs w:val="0"/>
          <w:kern w:val="2"/>
          <w:sz w:val="24"/>
          <w:szCs w:val="24"/>
        </w:rPr>
        <w:t>National Science and Technology Council</w:t>
      </w:r>
      <w:r w:rsidRPr="001A4764">
        <w:rPr>
          <w:rFonts w:ascii="Times New Roman" w:eastAsia="標楷體" w:hAnsi="Times New Roman" w:cs="Times New Roman"/>
          <w:iCs w:val="0"/>
          <w:kern w:val="2"/>
          <w:sz w:val="24"/>
          <w:szCs w:val="24"/>
        </w:rPr>
        <w:t>, and donations. Scores are calculated in units of NT$ 200,000. Projects valued below NT$ 200,000 will not be assigned a score. After the score for each project is calculated separately, the scores will be added up to produce the total score. </w:t>
      </w:r>
    </w:p>
    <w:tbl>
      <w:tblPr>
        <w:tblStyle w:val="afc"/>
        <w:tblW w:w="0" w:type="auto"/>
        <w:tblInd w:w="1395" w:type="dxa"/>
        <w:tblLook w:val="04A0" w:firstRow="1" w:lastRow="0" w:firstColumn="1" w:lastColumn="0" w:noHBand="0" w:noVBand="1"/>
      </w:tblPr>
      <w:tblGrid>
        <w:gridCol w:w="3315"/>
        <w:gridCol w:w="3903"/>
      </w:tblGrid>
      <w:tr w:rsidR="001A4764" w:rsidRPr="001A4764" w14:paraId="7CA90734" w14:textId="77777777" w:rsidTr="00455DE9">
        <w:trPr>
          <w:trHeight w:val="263"/>
        </w:trPr>
        <w:tc>
          <w:tcPr>
            <w:tcW w:w="3315" w:type="dxa"/>
          </w:tcPr>
          <w:p w14:paraId="265F3D26" w14:textId="77777777" w:rsidR="00CF443A" w:rsidRPr="001A4764" w:rsidRDefault="00CF443A" w:rsidP="00455DE9">
            <w:pPr>
              <w:snapToGrid w:val="0"/>
              <w:spacing w:beforeLines="50" w:before="120" w:after="119"/>
              <w:jc w:val="center"/>
              <w:rPr>
                <w:rFonts w:ascii="Times New Roman" w:eastAsia="標楷體" w:hAnsi="Times New Roman" w:cs="Times New Roman"/>
                <w:sz w:val="24"/>
                <w:szCs w:val="24"/>
              </w:rPr>
            </w:pPr>
            <w:r w:rsidRPr="001A4764">
              <w:rPr>
                <w:rFonts w:ascii="Times New Roman" w:eastAsia="標楷體" w:hAnsi="Times New Roman" w:cs="Times New Roman"/>
                <w:sz w:val="24"/>
                <w:szCs w:val="24"/>
              </w:rPr>
              <w:t>Funding source</w:t>
            </w:r>
          </w:p>
        </w:tc>
        <w:tc>
          <w:tcPr>
            <w:tcW w:w="3903" w:type="dxa"/>
          </w:tcPr>
          <w:p w14:paraId="2559AF5B" w14:textId="77777777" w:rsidR="00CF443A" w:rsidRPr="001A4764" w:rsidRDefault="00CF443A" w:rsidP="00455DE9">
            <w:pPr>
              <w:snapToGrid w:val="0"/>
              <w:spacing w:beforeLines="50" w:before="120" w:after="119"/>
              <w:jc w:val="center"/>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S</w:t>
            </w:r>
            <w:r w:rsidRPr="001A4764">
              <w:rPr>
                <w:rFonts w:ascii="Times New Roman" w:eastAsia="標楷體" w:hAnsi="Times New Roman" w:cs="Times New Roman"/>
                <w:sz w:val="24"/>
                <w:szCs w:val="24"/>
              </w:rPr>
              <w:t>coring</w:t>
            </w:r>
          </w:p>
        </w:tc>
      </w:tr>
      <w:tr w:rsidR="001A4764" w:rsidRPr="001A4764" w14:paraId="48694E15" w14:textId="77777777" w:rsidTr="00455DE9">
        <w:tc>
          <w:tcPr>
            <w:tcW w:w="3315" w:type="dxa"/>
            <w:vAlign w:val="center"/>
          </w:tcPr>
          <w:p w14:paraId="6A00DB4A" w14:textId="39F67850"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 xml:space="preserve">Subsidies for industry-academia projects (including projects from various ministries and departments), subsidies for integrated research projects from the </w:t>
            </w:r>
            <w:r w:rsidR="003D7D60" w:rsidRPr="003D7D60">
              <w:rPr>
                <w:rFonts w:ascii="Times New Roman" w:eastAsia="標楷體" w:hAnsi="Times New Roman" w:cs="Times New Roman"/>
                <w:sz w:val="24"/>
                <w:szCs w:val="24"/>
              </w:rPr>
              <w:t>National Science and Technology Council</w:t>
            </w:r>
            <w:bookmarkStart w:id="1" w:name="_GoBack"/>
            <w:bookmarkEnd w:id="1"/>
            <w:r w:rsidRPr="001A4764">
              <w:rPr>
                <w:rFonts w:ascii="Times New Roman" w:eastAsia="標楷體" w:hAnsi="Times New Roman" w:cs="Times New Roman"/>
                <w:sz w:val="24"/>
                <w:szCs w:val="24"/>
              </w:rPr>
              <w:t>, and donations</w:t>
            </w:r>
          </w:p>
        </w:tc>
        <w:tc>
          <w:tcPr>
            <w:tcW w:w="3903" w:type="dxa"/>
          </w:tcPr>
          <w:p w14:paraId="472DF052" w14:textId="77777777"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Three points for every NT$ 200,000</w:t>
            </w:r>
          </w:p>
        </w:tc>
      </w:tr>
    </w:tbl>
    <w:p w14:paraId="4832BD13" w14:textId="77777777" w:rsidR="00387FCA" w:rsidRPr="001A4764" w:rsidRDefault="00CF443A" w:rsidP="00387FCA">
      <w:pPr>
        <w:snapToGrid w:val="0"/>
        <w:spacing w:beforeLines="50" w:before="120" w:after="0" w:line="240" w:lineRule="auto"/>
        <w:ind w:left="1560" w:hangingChars="650" w:hanging="1560"/>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hint="eastAsia"/>
          <w:iCs w:val="0"/>
          <w:kern w:val="2"/>
          <w:sz w:val="24"/>
          <w:szCs w:val="24"/>
        </w:rPr>
        <w:t xml:space="preserve">        </w:t>
      </w:r>
      <w:r w:rsidR="003B2286" w:rsidRPr="001A4764">
        <w:rPr>
          <w:rFonts w:ascii="Times New Roman" w:eastAsia="標楷體" w:hAnsi="Times New Roman" w:cs="Times New Roman"/>
          <w:iCs w:val="0"/>
          <w:kern w:val="2"/>
          <w:sz w:val="24"/>
          <w:szCs w:val="24"/>
        </w:rPr>
        <w:t xml:space="preserve"> </w:t>
      </w:r>
      <w:r w:rsidRPr="001A4764">
        <w:rPr>
          <w:rFonts w:ascii="Times New Roman" w:eastAsia="標楷體" w:hAnsi="Times New Roman" w:cs="Times New Roman" w:hint="eastAsia"/>
          <w:iCs w:val="0"/>
          <w:kern w:val="2"/>
          <w:sz w:val="24"/>
          <w:szCs w:val="24"/>
        </w:rPr>
        <w:t xml:space="preserve"> </w:t>
      </w:r>
      <w:r w:rsidRPr="001A4764">
        <w:rPr>
          <w:rFonts w:ascii="Times New Roman" w:eastAsia="標楷體" w:hAnsi="Times New Roman" w:cs="Times New Roman"/>
          <w:iCs w:val="0"/>
          <w:kern w:val="2"/>
          <w:sz w:val="24"/>
          <w:szCs w:val="24"/>
        </w:rPr>
        <w:t>2. Published academic results:</w:t>
      </w:r>
    </w:p>
    <w:p w14:paraId="6F93B811" w14:textId="110966A1" w:rsidR="00387FCA" w:rsidRPr="001A4764" w:rsidRDefault="00CF443A" w:rsidP="00387FCA">
      <w:pPr>
        <w:snapToGrid w:val="0"/>
        <w:spacing w:beforeLines="50" w:before="120" w:afterLines="50" w:after="120" w:line="240" w:lineRule="auto"/>
        <w:ind w:leftChars="600" w:left="1260" w:firstLineChars="100" w:firstLine="240"/>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iCs w:val="0"/>
          <w:kern w:val="2"/>
          <w:sz w:val="24"/>
          <w:szCs w:val="24"/>
        </w:rPr>
        <w:t>Each paper or book can only be counted once in the scoring.</w:t>
      </w:r>
    </w:p>
    <w:tbl>
      <w:tblPr>
        <w:tblStyle w:val="afc"/>
        <w:tblW w:w="0" w:type="auto"/>
        <w:tblInd w:w="1446" w:type="dxa"/>
        <w:tblLook w:val="04A0" w:firstRow="1" w:lastRow="0" w:firstColumn="1" w:lastColumn="0" w:noHBand="0" w:noVBand="1"/>
      </w:tblPr>
      <w:tblGrid>
        <w:gridCol w:w="3367"/>
        <w:gridCol w:w="3712"/>
      </w:tblGrid>
      <w:tr w:rsidR="001A4764" w:rsidRPr="001A4764" w14:paraId="5F5B66D9" w14:textId="77777777" w:rsidTr="00C22D89">
        <w:trPr>
          <w:trHeight w:val="263"/>
        </w:trPr>
        <w:tc>
          <w:tcPr>
            <w:tcW w:w="3367" w:type="dxa"/>
          </w:tcPr>
          <w:p w14:paraId="7CB47789" w14:textId="4B82BD92"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F</w:t>
            </w:r>
            <w:r w:rsidRPr="001A4764">
              <w:rPr>
                <w:rFonts w:ascii="Times New Roman" w:eastAsia="標楷體" w:hAnsi="Times New Roman" w:cs="Times New Roman"/>
                <w:sz w:val="24"/>
                <w:szCs w:val="24"/>
              </w:rPr>
              <w:t>orm of published academic results</w:t>
            </w:r>
          </w:p>
        </w:tc>
        <w:tc>
          <w:tcPr>
            <w:tcW w:w="3712" w:type="dxa"/>
          </w:tcPr>
          <w:p w14:paraId="5DF6C7CA" w14:textId="1AC37DC8"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S</w:t>
            </w:r>
            <w:r w:rsidRPr="001A4764">
              <w:rPr>
                <w:rFonts w:ascii="Times New Roman" w:eastAsia="標楷體" w:hAnsi="Times New Roman" w:cs="Times New Roman"/>
                <w:sz w:val="24"/>
                <w:szCs w:val="24"/>
              </w:rPr>
              <w:t>coring</w:t>
            </w:r>
          </w:p>
        </w:tc>
      </w:tr>
      <w:tr w:rsidR="001A4764" w:rsidRPr="001A4764" w14:paraId="38C364FC" w14:textId="77777777" w:rsidTr="00C22D89">
        <w:tc>
          <w:tcPr>
            <w:tcW w:w="3367" w:type="dxa"/>
          </w:tcPr>
          <w:p w14:paraId="2D2D6B8D"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SCI or SCIE-indexed journals</w:t>
            </w:r>
          </w:p>
        </w:tc>
        <w:tc>
          <w:tcPr>
            <w:tcW w:w="3712" w:type="dxa"/>
          </w:tcPr>
          <w:p w14:paraId="530D1AA1"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One point for each paper or two points for each paper published in a Q1 journal</w:t>
            </w:r>
          </w:p>
        </w:tc>
      </w:tr>
      <w:tr w:rsidR="001A4764" w:rsidRPr="001A4764" w14:paraId="2BCD11AF" w14:textId="77777777" w:rsidTr="00C22D89">
        <w:tc>
          <w:tcPr>
            <w:tcW w:w="3367" w:type="dxa"/>
          </w:tcPr>
          <w:p w14:paraId="6DF6158A"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Books with ISBNs</w:t>
            </w:r>
          </w:p>
        </w:tc>
        <w:tc>
          <w:tcPr>
            <w:tcW w:w="3712" w:type="dxa"/>
          </w:tcPr>
          <w:p w14:paraId="23631944"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Four points for each book</w:t>
            </w:r>
          </w:p>
        </w:tc>
      </w:tr>
    </w:tbl>
    <w:p w14:paraId="133E7BCE" w14:textId="389E4165" w:rsidR="00CF443A" w:rsidRPr="001A4764" w:rsidRDefault="00CF443A" w:rsidP="00387FCA">
      <w:pPr>
        <w:snapToGrid w:val="0"/>
        <w:spacing w:beforeLines="50" w:before="120" w:after="0" w:line="240" w:lineRule="auto"/>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hint="eastAsia"/>
          <w:iCs w:val="0"/>
          <w:kern w:val="2"/>
          <w:sz w:val="24"/>
          <w:szCs w:val="24"/>
        </w:rPr>
        <w:t xml:space="preserve">         </w:t>
      </w:r>
      <w:r w:rsidRPr="001A4764">
        <w:rPr>
          <w:rFonts w:ascii="Times New Roman" w:eastAsia="標楷體" w:hAnsi="Times New Roman" w:cs="Times New Roman"/>
          <w:iCs w:val="0"/>
          <w:kern w:val="2"/>
          <w:sz w:val="24"/>
          <w:szCs w:val="24"/>
        </w:rPr>
        <w:t>3. Academic exchange activities:</w:t>
      </w:r>
    </w:p>
    <w:p w14:paraId="5F2058EA" w14:textId="53D63AC1" w:rsidR="00CF443A" w:rsidRPr="001A4764" w:rsidRDefault="00CF443A" w:rsidP="00455DE9">
      <w:pPr>
        <w:snapToGrid w:val="0"/>
        <w:spacing w:beforeLines="50" w:before="120" w:afterLines="50" w:after="120" w:line="240" w:lineRule="auto"/>
        <w:ind w:leftChars="607" w:left="1275"/>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iCs w:val="0"/>
          <w:kern w:val="2"/>
          <w:sz w:val="24"/>
          <w:szCs w:val="24"/>
        </w:rPr>
        <w:lastRenderedPageBreak/>
        <w:t xml:space="preserve">Online international conferences are scored </w:t>
      </w:r>
      <w:r w:rsidR="002031AD" w:rsidRPr="001A4764">
        <w:rPr>
          <w:rFonts w:ascii="Times New Roman" w:eastAsia="標楷體" w:hAnsi="Times New Roman" w:cs="Times New Roman"/>
          <w:iCs w:val="0"/>
          <w:kern w:val="2"/>
          <w:sz w:val="24"/>
          <w:szCs w:val="24"/>
        </w:rPr>
        <w:t xml:space="preserve">in accordance with </w:t>
      </w:r>
      <w:r w:rsidRPr="001A4764">
        <w:rPr>
          <w:rFonts w:ascii="Times New Roman" w:eastAsia="標楷體" w:hAnsi="Times New Roman" w:cs="Times New Roman"/>
          <w:iCs w:val="0"/>
          <w:kern w:val="2"/>
          <w:sz w:val="24"/>
          <w:szCs w:val="24"/>
        </w:rPr>
        <w:t>the same evaluation criteria as domestic conferences.</w:t>
      </w:r>
    </w:p>
    <w:tbl>
      <w:tblPr>
        <w:tblStyle w:val="afc"/>
        <w:tblW w:w="0" w:type="auto"/>
        <w:tblInd w:w="1176" w:type="dxa"/>
        <w:tblLook w:val="04A0" w:firstRow="1" w:lastRow="0" w:firstColumn="1" w:lastColumn="0" w:noHBand="0" w:noVBand="1"/>
      </w:tblPr>
      <w:tblGrid>
        <w:gridCol w:w="3431"/>
        <w:gridCol w:w="4196"/>
      </w:tblGrid>
      <w:tr w:rsidR="001A4764" w:rsidRPr="001A4764" w14:paraId="68637F98" w14:textId="77777777" w:rsidTr="007C7F64">
        <w:trPr>
          <w:trHeight w:val="263"/>
        </w:trPr>
        <w:tc>
          <w:tcPr>
            <w:tcW w:w="3431" w:type="dxa"/>
          </w:tcPr>
          <w:p w14:paraId="51B4303F" w14:textId="77777777"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Size of conference or activity</w:t>
            </w:r>
          </w:p>
        </w:tc>
        <w:tc>
          <w:tcPr>
            <w:tcW w:w="4196" w:type="dxa"/>
          </w:tcPr>
          <w:p w14:paraId="3DD9D23F" w14:textId="77777777" w:rsidR="00CF443A" w:rsidRPr="001A4764" w:rsidRDefault="00CF443A" w:rsidP="00CF443A">
            <w:pPr>
              <w:snapToGrid w:val="0"/>
              <w:spacing w:beforeLines="50" w:before="120" w:after="119"/>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Scoring (number of participants / points)</w:t>
            </w:r>
          </w:p>
        </w:tc>
      </w:tr>
      <w:tr w:rsidR="001A4764" w:rsidRPr="001A4764" w14:paraId="32914953" w14:textId="77777777" w:rsidTr="007C7F64">
        <w:tc>
          <w:tcPr>
            <w:tcW w:w="3431" w:type="dxa"/>
            <w:vMerge w:val="restart"/>
          </w:tcPr>
          <w:p w14:paraId="7006FFBE"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Domestic conferences or activities</w:t>
            </w:r>
          </w:p>
        </w:tc>
        <w:tc>
          <w:tcPr>
            <w:tcW w:w="4196" w:type="dxa"/>
          </w:tcPr>
          <w:p w14:paraId="018A52A6"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1</w:t>
            </w:r>
            <w:r w:rsidRPr="001A4764">
              <w:rPr>
                <w:rFonts w:ascii="Times New Roman" w:eastAsia="標楷體" w:hAnsi="Times New Roman" w:cs="Times New Roman"/>
                <w:sz w:val="24"/>
                <w:szCs w:val="24"/>
              </w:rPr>
              <w:t>0 persons or below / 1 point</w:t>
            </w:r>
          </w:p>
        </w:tc>
      </w:tr>
      <w:tr w:rsidR="001A4764" w:rsidRPr="001A4764" w14:paraId="50702976" w14:textId="77777777" w:rsidTr="007C7F64">
        <w:tc>
          <w:tcPr>
            <w:tcW w:w="3431" w:type="dxa"/>
            <w:vMerge/>
          </w:tcPr>
          <w:p w14:paraId="0AB6D6A4"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0D78054E"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1</w:t>
            </w:r>
            <w:r w:rsidRPr="001A4764">
              <w:rPr>
                <w:rFonts w:ascii="Times New Roman" w:eastAsia="標楷體" w:hAnsi="Times New Roman" w:cs="Times New Roman"/>
                <w:sz w:val="24"/>
                <w:szCs w:val="24"/>
              </w:rPr>
              <w:t>0-100 persons / 3 points</w:t>
            </w:r>
          </w:p>
        </w:tc>
      </w:tr>
      <w:tr w:rsidR="001A4764" w:rsidRPr="001A4764" w14:paraId="3E289CCB" w14:textId="77777777" w:rsidTr="007C7F64">
        <w:tc>
          <w:tcPr>
            <w:tcW w:w="3431" w:type="dxa"/>
            <w:vMerge/>
          </w:tcPr>
          <w:p w14:paraId="79F364D3"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2568BD08"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101-200 persons / 6 points</w:t>
            </w:r>
          </w:p>
        </w:tc>
      </w:tr>
      <w:tr w:rsidR="001A4764" w:rsidRPr="001A4764" w14:paraId="20D862C2" w14:textId="77777777" w:rsidTr="007C7F64">
        <w:tc>
          <w:tcPr>
            <w:tcW w:w="3431" w:type="dxa"/>
            <w:vMerge/>
          </w:tcPr>
          <w:p w14:paraId="3713FD20"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511EACCF"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2</w:t>
            </w:r>
            <w:r w:rsidRPr="001A4764">
              <w:rPr>
                <w:rFonts w:ascii="Times New Roman" w:eastAsia="標楷體" w:hAnsi="Times New Roman" w:cs="Times New Roman"/>
                <w:sz w:val="24"/>
                <w:szCs w:val="24"/>
              </w:rPr>
              <w:t>01 persons or above / 9 points</w:t>
            </w:r>
          </w:p>
        </w:tc>
      </w:tr>
      <w:tr w:rsidR="001A4764" w:rsidRPr="001A4764" w14:paraId="347480A0" w14:textId="77777777" w:rsidTr="007C7F64">
        <w:tc>
          <w:tcPr>
            <w:tcW w:w="3431" w:type="dxa"/>
            <w:vMerge w:val="restart"/>
          </w:tcPr>
          <w:p w14:paraId="57B50476"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International conferences or activities</w:t>
            </w:r>
          </w:p>
        </w:tc>
        <w:tc>
          <w:tcPr>
            <w:tcW w:w="4196" w:type="dxa"/>
          </w:tcPr>
          <w:p w14:paraId="7E8E4EDD"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1</w:t>
            </w:r>
            <w:r w:rsidRPr="001A4764">
              <w:rPr>
                <w:rFonts w:ascii="Times New Roman" w:eastAsia="標楷體" w:hAnsi="Times New Roman" w:cs="Times New Roman"/>
                <w:sz w:val="24"/>
                <w:szCs w:val="24"/>
              </w:rPr>
              <w:t>00 persons or below / 10 points</w:t>
            </w:r>
          </w:p>
        </w:tc>
      </w:tr>
      <w:tr w:rsidR="001A4764" w:rsidRPr="001A4764" w14:paraId="097A4DBB" w14:textId="77777777" w:rsidTr="007C7F64">
        <w:tc>
          <w:tcPr>
            <w:tcW w:w="3431" w:type="dxa"/>
            <w:vMerge/>
          </w:tcPr>
          <w:p w14:paraId="74775C34"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3B0D54C8" w14:textId="05D19C90"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1</w:t>
            </w:r>
            <w:r w:rsidRPr="001A4764">
              <w:rPr>
                <w:rFonts w:ascii="Times New Roman" w:eastAsia="標楷體" w:hAnsi="Times New Roman" w:cs="Times New Roman"/>
                <w:sz w:val="24"/>
                <w:szCs w:val="24"/>
              </w:rPr>
              <w:t>0</w:t>
            </w:r>
            <w:r w:rsidRPr="001A4764">
              <w:rPr>
                <w:rFonts w:ascii="Times New Roman" w:eastAsia="標楷體" w:hAnsi="Times New Roman" w:cs="Times New Roman" w:hint="eastAsia"/>
                <w:sz w:val="24"/>
                <w:szCs w:val="24"/>
              </w:rPr>
              <w:t>0</w:t>
            </w:r>
            <w:r w:rsidRPr="001A4764">
              <w:rPr>
                <w:rFonts w:ascii="Times New Roman" w:eastAsia="標楷體" w:hAnsi="Times New Roman" w:cs="Times New Roman"/>
                <w:sz w:val="24"/>
                <w:szCs w:val="24"/>
              </w:rPr>
              <w:t>-300 persons / 12 points</w:t>
            </w:r>
          </w:p>
        </w:tc>
      </w:tr>
      <w:tr w:rsidR="001A4764" w:rsidRPr="001A4764" w14:paraId="05DF9736" w14:textId="77777777" w:rsidTr="007C7F64">
        <w:tc>
          <w:tcPr>
            <w:tcW w:w="3431" w:type="dxa"/>
            <w:vMerge/>
          </w:tcPr>
          <w:p w14:paraId="3404C6F1"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55F07C5B"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sz w:val="24"/>
                <w:szCs w:val="24"/>
              </w:rPr>
              <w:t>301-500 persons / 21 points</w:t>
            </w:r>
          </w:p>
        </w:tc>
      </w:tr>
      <w:tr w:rsidR="001A4764" w:rsidRPr="001A4764" w14:paraId="6DA84BF2" w14:textId="77777777" w:rsidTr="007C7F64">
        <w:tc>
          <w:tcPr>
            <w:tcW w:w="3431" w:type="dxa"/>
            <w:vMerge/>
          </w:tcPr>
          <w:p w14:paraId="6DB8B886" w14:textId="77777777" w:rsidR="00CF443A" w:rsidRPr="001A4764" w:rsidRDefault="00CF443A" w:rsidP="00CF443A">
            <w:pPr>
              <w:snapToGrid w:val="0"/>
              <w:jc w:val="both"/>
              <w:rPr>
                <w:rFonts w:ascii="Times New Roman" w:eastAsia="標楷體" w:hAnsi="Times New Roman" w:cs="Times New Roman"/>
                <w:sz w:val="24"/>
                <w:szCs w:val="24"/>
              </w:rPr>
            </w:pPr>
          </w:p>
        </w:tc>
        <w:tc>
          <w:tcPr>
            <w:tcW w:w="4196" w:type="dxa"/>
          </w:tcPr>
          <w:p w14:paraId="2A006ED3" w14:textId="77777777" w:rsidR="00CF443A" w:rsidRPr="001A4764" w:rsidRDefault="00CF443A" w:rsidP="00CF443A">
            <w:pPr>
              <w:snapToGrid w:val="0"/>
              <w:jc w:val="both"/>
              <w:rPr>
                <w:rFonts w:ascii="Times New Roman" w:eastAsia="標楷體" w:hAnsi="Times New Roman" w:cs="Times New Roman"/>
                <w:sz w:val="24"/>
                <w:szCs w:val="24"/>
              </w:rPr>
            </w:pPr>
            <w:r w:rsidRPr="001A4764">
              <w:rPr>
                <w:rFonts w:ascii="Times New Roman" w:eastAsia="標楷體" w:hAnsi="Times New Roman" w:cs="Times New Roman" w:hint="eastAsia"/>
                <w:sz w:val="24"/>
                <w:szCs w:val="24"/>
              </w:rPr>
              <w:t>5</w:t>
            </w:r>
            <w:r w:rsidRPr="001A4764">
              <w:rPr>
                <w:rFonts w:ascii="Times New Roman" w:eastAsia="標楷體" w:hAnsi="Times New Roman" w:cs="Times New Roman"/>
                <w:sz w:val="24"/>
                <w:szCs w:val="24"/>
              </w:rPr>
              <w:t>01 persons or above / 30 points</w:t>
            </w:r>
          </w:p>
        </w:tc>
      </w:tr>
    </w:tbl>
    <w:p w14:paraId="1A3A4689" w14:textId="017EC9D2" w:rsidR="00CF443A" w:rsidRPr="001A4764" w:rsidRDefault="00CF443A" w:rsidP="00455DE9">
      <w:pPr>
        <w:snapToGrid w:val="0"/>
        <w:spacing w:beforeLines="50" w:before="120" w:afterLines="100" w:after="240" w:line="240" w:lineRule="auto"/>
        <w:ind w:leftChars="472" w:left="1231" w:hangingChars="100" w:hanging="240"/>
        <w:jc w:val="both"/>
        <w:rPr>
          <w:rFonts w:ascii="Times New Roman" w:eastAsia="標楷體" w:hAnsi="Times New Roman" w:cs="Times New Roman"/>
          <w:iCs w:val="0"/>
          <w:kern w:val="2"/>
          <w:sz w:val="24"/>
          <w:szCs w:val="24"/>
        </w:rPr>
      </w:pPr>
      <w:r w:rsidRPr="001A4764">
        <w:rPr>
          <w:rFonts w:ascii="Times New Roman" w:eastAsia="標楷體" w:hAnsi="Times New Roman" w:cs="Times New Roman"/>
          <w:iCs w:val="0"/>
          <w:kern w:val="2"/>
          <w:sz w:val="24"/>
          <w:szCs w:val="24"/>
        </w:rPr>
        <w:t>4. Other projects that demonstrate the values of the research centers will receive 15 points as evaluated by the committee members.</w:t>
      </w:r>
    </w:p>
    <w:p w14:paraId="3C7F05E1" w14:textId="6588461F" w:rsidR="00CF443A" w:rsidRPr="001A4764" w:rsidRDefault="00CF443A" w:rsidP="00CF443A">
      <w:pPr>
        <w:snapToGrid w:val="0"/>
        <w:spacing w:beforeLines="50" w:before="120" w:after="119" w:line="240" w:lineRule="auto"/>
        <w:ind w:leftChars="198" w:left="865" w:hangingChars="187" w:hanging="449"/>
        <w:jc w:val="both"/>
        <w:rPr>
          <w:rFonts w:ascii="Times New Roman" w:eastAsia="標楷體" w:hAnsi="Times New Roman" w:cs="Times New Roman"/>
          <w:iCs w:val="0"/>
          <w:kern w:val="2"/>
          <w:sz w:val="24"/>
          <w:szCs w:val="28"/>
        </w:rPr>
      </w:pPr>
      <w:r w:rsidRPr="001A4764">
        <w:rPr>
          <w:rFonts w:ascii="Times New Roman" w:eastAsia="標楷體" w:hAnsi="Times New Roman" w:cs="Times New Roman"/>
          <w:iCs w:val="0"/>
          <w:kern w:val="2"/>
          <w:sz w:val="24"/>
          <w:szCs w:val="28"/>
        </w:rPr>
        <w:t>(III) For the evaluation results of the research centers, 75-100 points are considered “pass,” 60-74 points are considered “conditional pass,” and 59 points or below are considered “fail.”</w:t>
      </w:r>
    </w:p>
    <w:p w14:paraId="1231C402" w14:textId="5C8C53A0" w:rsidR="00CF443A" w:rsidRPr="001A4764" w:rsidRDefault="00CF443A" w:rsidP="00896E46">
      <w:pPr>
        <w:snapToGrid w:val="0"/>
        <w:spacing w:line="240" w:lineRule="auto"/>
        <w:ind w:leftChars="540" w:left="1374" w:hangingChars="100" w:hanging="240"/>
        <w:jc w:val="both"/>
        <w:rPr>
          <w:rFonts w:ascii="Times New Roman" w:eastAsia="標楷體" w:hAnsi="Times New Roman" w:cs="Times New Roman"/>
          <w:iCs w:val="0"/>
          <w:kern w:val="2"/>
          <w:sz w:val="24"/>
          <w:szCs w:val="28"/>
        </w:rPr>
      </w:pPr>
      <w:r w:rsidRPr="001A4764">
        <w:rPr>
          <w:rFonts w:ascii="Times New Roman" w:eastAsia="標楷體" w:hAnsi="Times New Roman" w:cs="Times New Roman"/>
          <w:iCs w:val="0"/>
          <w:kern w:val="2"/>
          <w:sz w:val="24"/>
          <w:szCs w:val="28"/>
        </w:rPr>
        <w:t>1. Research centers that pass the evaluation with 90 points or above will be exempt from evaluation for two years, while those that pass the evaluation with 75-89 points will be exempt for one year.</w:t>
      </w:r>
    </w:p>
    <w:p w14:paraId="1EA5EB4D" w14:textId="7AB9E2EE" w:rsidR="00CF443A" w:rsidRPr="001A4764" w:rsidRDefault="00CF443A" w:rsidP="00896E46">
      <w:pPr>
        <w:snapToGrid w:val="0"/>
        <w:spacing w:line="240" w:lineRule="auto"/>
        <w:ind w:leftChars="540" w:left="1374" w:hangingChars="100" w:hanging="240"/>
        <w:jc w:val="both"/>
        <w:rPr>
          <w:rFonts w:ascii="Times New Roman" w:eastAsia="標楷體" w:hAnsi="Times New Roman" w:cs="Times New Roman"/>
          <w:sz w:val="24"/>
          <w:szCs w:val="28"/>
          <w:lang w:eastAsia="zh-HK"/>
        </w:rPr>
      </w:pPr>
      <w:r w:rsidRPr="001A4764">
        <w:rPr>
          <w:rFonts w:ascii="Times New Roman" w:eastAsia="標楷體" w:hAnsi="Times New Roman" w:cs="Times New Roman"/>
          <w:sz w:val="24"/>
          <w:szCs w:val="28"/>
          <w:lang w:eastAsia="zh-HK"/>
        </w:rPr>
        <w:t>2. Research centers that receive a “conditional pass” must submit an improvement plan to the Evaluation Committee within one month after the university-level meeting of the current year for verification and reference. The Office of Research and Development will present the plan to the first management committee meeting of the following year for evaluation. When the centers are evaluated again in the following year, their scores will be calculated as half of their scores from the previous year plus the scores received in the current year.</w:t>
      </w:r>
    </w:p>
    <w:p w14:paraId="6F31DFC9" w14:textId="5310926B" w:rsidR="00CF443A" w:rsidRPr="001A4764" w:rsidRDefault="00CF443A" w:rsidP="00896E46">
      <w:pPr>
        <w:snapToGrid w:val="0"/>
        <w:spacing w:line="240" w:lineRule="auto"/>
        <w:ind w:leftChars="540" w:left="1134" w:firstLine="2"/>
        <w:jc w:val="both"/>
        <w:rPr>
          <w:rFonts w:ascii="Times New Roman" w:eastAsia="標楷體" w:hAnsi="Times New Roman" w:cs="Times New Roman"/>
          <w:sz w:val="24"/>
          <w:szCs w:val="28"/>
          <w:lang w:eastAsia="zh-HK"/>
        </w:rPr>
      </w:pPr>
      <w:r w:rsidRPr="001A4764">
        <w:rPr>
          <w:rFonts w:ascii="Times New Roman" w:eastAsia="標楷體" w:hAnsi="Times New Roman" w:cs="Times New Roman"/>
          <w:sz w:val="24"/>
          <w:szCs w:val="28"/>
          <w:lang w:eastAsia="zh-HK"/>
        </w:rPr>
        <w:t xml:space="preserve">3. Research centers that receive a “fail” will </w:t>
      </w:r>
      <w:r w:rsidR="002031AD" w:rsidRPr="001A4764">
        <w:rPr>
          <w:rFonts w:ascii="Times New Roman" w:eastAsia="標楷體" w:hAnsi="Times New Roman" w:cs="Times New Roman"/>
          <w:sz w:val="24"/>
          <w:szCs w:val="28"/>
          <w:lang w:eastAsia="zh-HK"/>
        </w:rPr>
        <w:t>be dissolved</w:t>
      </w:r>
      <w:r w:rsidRPr="001A4764">
        <w:rPr>
          <w:rFonts w:ascii="Times New Roman" w:eastAsia="標楷體" w:hAnsi="Times New Roman" w:cs="Times New Roman"/>
          <w:sz w:val="24"/>
          <w:szCs w:val="28"/>
          <w:lang w:eastAsia="zh-HK"/>
        </w:rPr>
        <w:t>.</w:t>
      </w:r>
    </w:p>
    <w:p w14:paraId="67630586" w14:textId="77777777" w:rsidR="00CF443A" w:rsidRPr="001A4764" w:rsidRDefault="00CF443A" w:rsidP="00896E46">
      <w:pPr>
        <w:snapToGrid w:val="0"/>
        <w:spacing w:line="240" w:lineRule="auto"/>
        <w:ind w:leftChars="540" w:left="1134" w:firstLine="2"/>
        <w:jc w:val="both"/>
        <w:rPr>
          <w:rFonts w:ascii="Times New Roman" w:eastAsia="標楷體" w:hAnsi="Times New Roman" w:cs="Times New Roman"/>
          <w:sz w:val="24"/>
          <w:szCs w:val="28"/>
          <w:lang w:eastAsia="zh-HK"/>
        </w:rPr>
      </w:pPr>
      <w:r w:rsidRPr="001A4764">
        <w:rPr>
          <w:rFonts w:ascii="Times New Roman" w:eastAsia="標楷體" w:hAnsi="Times New Roman" w:cs="Times New Roman"/>
          <w:sz w:val="24"/>
          <w:szCs w:val="28"/>
          <w:lang w:eastAsia="zh-HK"/>
        </w:rPr>
        <w:t>4. Research centers that do not submit documents will receive a “fail” directly.</w:t>
      </w:r>
    </w:p>
    <w:p w14:paraId="3FA8710E" w14:textId="47D6622E" w:rsidR="00CF443A" w:rsidRPr="001A4764" w:rsidRDefault="00CF443A" w:rsidP="00CF443A">
      <w:pPr>
        <w:snapToGrid w:val="0"/>
        <w:spacing w:line="240" w:lineRule="auto"/>
        <w:ind w:left="377" w:hangingChars="157" w:hanging="377"/>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V. The College will monitor the progress of research centers in implementing recommended improvements and present the measures taken and their implementation status to the first meeting of the Research Center Management Committee of the University in the following year for evaluation.</w:t>
      </w:r>
    </w:p>
    <w:p w14:paraId="4C04669B" w14:textId="734376CB" w:rsidR="00CF443A" w:rsidRPr="001A4764" w:rsidRDefault="00CF443A" w:rsidP="007B4E4F">
      <w:pPr>
        <w:snapToGrid w:val="0"/>
        <w:spacing w:line="240" w:lineRule="auto"/>
        <w:ind w:leftChars="227" w:left="479" w:hangingChars="1" w:hanging="2"/>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Research centers that dispute their evaluation results may provide a written explanation attached with supporting documents to the Evaluation Committee within one month of receiving the evaluation results. The Evaluation Committee will then send the resubmission to the Evaluation Committee of the University before the end of February for reevaluation.</w:t>
      </w:r>
    </w:p>
    <w:p w14:paraId="721895B3" w14:textId="7E31333E" w:rsidR="00CF443A" w:rsidRPr="001A4764" w:rsidRDefault="00CF443A" w:rsidP="007B4E4F">
      <w:pPr>
        <w:snapToGrid w:val="0"/>
        <w:spacing w:line="240" w:lineRule="auto"/>
        <w:ind w:leftChars="227" w:left="479" w:hangingChars="1" w:hanging="2"/>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Research centers are permitted to resubmit once only and are not allowed to file for another resubmission if the initial resubmission is denied.</w:t>
      </w:r>
    </w:p>
    <w:p w14:paraId="14AFB000" w14:textId="43973473" w:rsidR="00C00F3B" w:rsidRPr="001A4764" w:rsidRDefault="00C00F3B" w:rsidP="00C00F3B">
      <w:pPr>
        <w:ind w:left="480" w:hangingChars="200" w:hanging="480"/>
        <w:rPr>
          <w:rFonts w:ascii="Times New Roman" w:eastAsia="標楷體" w:hAnsi="Times New Roman"/>
          <w:sz w:val="24"/>
          <w:szCs w:val="28"/>
          <w:lang w:eastAsia="zh-HK"/>
        </w:rPr>
      </w:pPr>
      <w:proofErr w:type="gramStart"/>
      <w:r w:rsidRPr="001A4764">
        <w:rPr>
          <w:rFonts w:ascii="Times New Roman" w:eastAsia="標楷體" w:hAnsi="Times New Roman"/>
          <w:sz w:val="24"/>
          <w:szCs w:val="28"/>
          <w:lang w:eastAsia="zh-HK"/>
        </w:rPr>
        <w:lastRenderedPageBreak/>
        <w:t>VI .</w:t>
      </w:r>
      <w:proofErr w:type="gramEnd"/>
      <w:r w:rsidRPr="001A4764">
        <w:rPr>
          <w:rFonts w:ascii="Times New Roman" w:eastAsia="標楷體" w:hAnsi="Times New Roman"/>
          <w:sz w:val="24"/>
          <w:szCs w:val="28"/>
          <w:lang w:eastAsia="zh-HK"/>
        </w:rPr>
        <w:t xml:space="preserve"> Matters not stated in the Guidelines shall be handled according to the law and relevant rules of NSYSU.</w:t>
      </w:r>
    </w:p>
    <w:p w14:paraId="3433F86D" w14:textId="1CD5767A" w:rsidR="00CF443A" w:rsidRPr="001A4764" w:rsidRDefault="00CF443A" w:rsidP="00CF443A">
      <w:pPr>
        <w:snapToGrid w:val="0"/>
        <w:spacing w:line="240" w:lineRule="auto"/>
        <w:ind w:left="475" w:hangingChars="198" w:hanging="475"/>
        <w:jc w:val="both"/>
        <w:rPr>
          <w:rFonts w:ascii="Times New Roman" w:eastAsia="標楷體" w:hAnsi="Times New Roman"/>
          <w:sz w:val="24"/>
          <w:szCs w:val="28"/>
          <w:lang w:eastAsia="zh-HK"/>
        </w:rPr>
      </w:pPr>
      <w:r w:rsidRPr="001A4764">
        <w:rPr>
          <w:rFonts w:ascii="Times New Roman" w:eastAsia="標楷體" w:hAnsi="Times New Roman"/>
          <w:sz w:val="24"/>
          <w:szCs w:val="28"/>
          <w:lang w:eastAsia="zh-HK"/>
        </w:rPr>
        <w:t xml:space="preserve">VII. The Directives </w:t>
      </w:r>
      <w:r w:rsidRPr="001A4764">
        <w:rPr>
          <w:rFonts w:ascii="Times New Roman" w:eastAsia="標楷體" w:hAnsi="Times New Roman" w:hint="eastAsia"/>
          <w:sz w:val="24"/>
          <w:szCs w:val="28"/>
        </w:rPr>
        <w:t>h</w:t>
      </w:r>
      <w:r w:rsidRPr="001A4764">
        <w:rPr>
          <w:rFonts w:ascii="Times New Roman" w:eastAsia="標楷體" w:hAnsi="Times New Roman"/>
          <w:sz w:val="24"/>
          <w:szCs w:val="28"/>
        </w:rPr>
        <w:t xml:space="preserve">ave been </w:t>
      </w:r>
      <w:r w:rsidRPr="001A4764">
        <w:rPr>
          <w:rFonts w:ascii="Times New Roman" w:eastAsia="標楷體" w:hAnsi="Times New Roman"/>
          <w:sz w:val="24"/>
          <w:szCs w:val="28"/>
          <w:lang w:eastAsia="zh-HK"/>
        </w:rPr>
        <w:t xml:space="preserve">passed in </w:t>
      </w:r>
      <w:r w:rsidR="002031AD" w:rsidRPr="001A4764">
        <w:rPr>
          <w:rFonts w:ascii="Times New Roman" w:eastAsia="標楷體" w:hAnsi="Times New Roman"/>
          <w:sz w:val="24"/>
          <w:szCs w:val="28"/>
          <w:lang w:eastAsia="zh-HK"/>
        </w:rPr>
        <w:t xml:space="preserve">the College Executive Meeting </w:t>
      </w:r>
      <w:r w:rsidRPr="001A4764">
        <w:rPr>
          <w:rFonts w:ascii="Times New Roman" w:eastAsia="標楷體" w:hAnsi="Times New Roman"/>
          <w:sz w:val="24"/>
          <w:szCs w:val="28"/>
          <w:lang w:eastAsia="zh-HK"/>
        </w:rPr>
        <w:t xml:space="preserve">and the </w:t>
      </w:r>
      <w:r w:rsidR="002031AD" w:rsidRPr="001A4764">
        <w:rPr>
          <w:rFonts w:ascii="Times New Roman" w:eastAsia="標楷體" w:hAnsi="Times New Roman"/>
          <w:sz w:val="24"/>
          <w:szCs w:val="28"/>
          <w:lang w:eastAsia="zh-HK"/>
        </w:rPr>
        <w:t xml:space="preserve">University </w:t>
      </w:r>
      <w:r w:rsidRPr="001A4764">
        <w:rPr>
          <w:rFonts w:ascii="Times New Roman" w:eastAsia="標楷體" w:hAnsi="Times New Roman"/>
          <w:sz w:val="24"/>
          <w:szCs w:val="28"/>
          <w:lang w:eastAsia="zh-HK"/>
        </w:rPr>
        <w:t xml:space="preserve">Research Center Management Committee and then submitted to the President for approval of implementation. The same procedure shall apply to all amendments to the </w:t>
      </w:r>
      <w:r w:rsidR="002031AD" w:rsidRPr="001A4764">
        <w:rPr>
          <w:rFonts w:ascii="Times New Roman" w:eastAsia="標楷體" w:hAnsi="Times New Roman"/>
          <w:sz w:val="24"/>
          <w:szCs w:val="28"/>
          <w:lang w:eastAsia="zh-HK"/>
        </w:rPr>
        <w:t>Guidelines</w:t>
      </w:r>
      <w:r w:rsidRPr="001A4764">
        <w:rPr>
          <w:rFonts w:ascii="Times New Roman" w:eastAsia="標楷體" w:hAnsi="Times New Roman"/>
          <w:sz w:val="24"/>
          <w:szCs w:val="28"/>
          <w:lang w:eastAsia="zh-HK"/>
        </w:rPr>
        <w:t>.</w:t>
      </w:r>
    </w:p>
    <w:p w14:paraId="272C8EEF" w14:textId="77777777" w:rsidR="00A665A3" w:rsidRPr="001A4764" w:rsidRDefault="00A665A3" w:rsidP="00A665A3">
      <w:pPr>
        <w:rPr>
          <w:lang w:eastAsia="zh-HK"/>
        </w:rPr>
      </w:pPr>
    </w:p>
    <w:p w14:paraId="48B746EB" w14:textId="77777777" w:rsidR="00A665A3" w:rsidRPr="001A4764" w:rsidRDefault="00A665A3" w:rsidP="00A665A3">
      <w:pPr>
        <w:rPr>
          <w:lang w:eastAsia="zh-HK"/>
        </w:rPr>
      </w:pPr>
    </w:p>
    <w:p w14:paraId="720FBE89" w14:textId="27F2943F" w:rsidR="00A665A3" w:rsidRPr="00A665A3" w:rsidRDefault="00A665A3" w:rsidP="00A665A3">
      <w:pPr>
        <w:rPr>
          <w:lang w:eastAsia="zh-HK"/>
        </w:rPr>
      </w:pPr>
    </w:p>
    <w:sectPr w:rsidR="00A665A3" w:rsidRPr="00A665A3" w:rsidSect="00A00879">
      <w:footerReference w:type="default" r:id="rId7"/>
      <w:pgSz w:w="12240" w:h="15840"/>
      <w:pgMar w:top="1134" w:right="1325" w:bottom="1843" w:left="1134" w:header="737" w:footer="340" w:gutter="0"/>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5CE6" w14:textId="77777777" w:rsidR="001A1048" w:rsidRDefault="001A1048" w:rsidP="00DC7BD8">
      <w:pPr>
        <w:spacing w:after="0" w:line="240" w:lineRule="auto"/>
      </w:pPr>
      <w:r>
        <w:separator/>
      </w:r>
    </w:p>
  </w:endnote>
  <w:endnote w:type="continuationSeparator" w:id="0">
    <w:p w14:paraId="1222159B" w14:textId="77777777" w:rsidR="001A1048" w:rsidRDefault="001A1048" w:rsidP="00DC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656E" w14:textId="0CA9BD26" w:rsidR="00831AA3" w:rsidRPr="00831AA3" w:rsidRDefault="00831AA3" w:rsidP="00831AA3">
    <w:pPr>
      <w:pStyle w:val="af8"/>
      <w:ind w:left="200" w:hangingChars="100" w:hanging="200"/>
      <w:rPr>
        <w:color w:val="0070C0"/>
      </w:rPr>
    </w:pPr>
    <w:r>
      <w:ptab w:relativeTo="indent" w:alignment="center" w:leader="none"/>
    </w:r>
    <w:r w:rsidRPr="00831AA3">
      <w:t xml:space="preserve"> </w:t>
    </w:r>
    <w:r w:rsidRPr="00831AA3">
      <w:rPr>
        <w:color w:val="0070C0"/>
      </w:rPr>
      <w:t>Above guidelines were translated from the original Chinese. In the event of any discrepancies between the two versions, the Chinese always takes precedence.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CC011" w14:textId="77777777" w:rsidR="001A1048" w:rsidRDefault="001A1048">
      <w:pPr>
        <w:pStyle w:val="af8"/>
      </w:pPr>
    </w:p>
    <w:p w14:paraId="3E911F59" w14:textId="77777777" w:rsidR="001A1048" w:rsidRDefault="001A1048"/>
    <w:p w14:paraId="606C64A2" w14:textId="77777777" w:rsidR="001A1048" w:rsidRDefault="001A1048">
      <w:pPr>
        <w:pStyle w:val="af6"/>
      </w:pPr>
    </w:p>
    <w:p w14:paraId="395D89BF" w14:textId="77777777" w:rsidR="001A1048" w:rsidRDefault="001A1048"/>
    <w:p w14:paraId="547A37A2" w14:textId="77777777" w:rsidR="001A1048" w:rsidRDefault="001A1048">
      <w:pPr>
        <w:pStyle w:val="af8"/>
      </w:pPr>
    </w:p>
    <w:p w14:paraId="6FB5141F" w14:textId="77777777" w:rsidR="001A1048" w:rsidRDefault="001A1048"/>
    <w:p w14:paraId="10D1D40A" w14:textId="77777777" w:rsidR="001A1048" w:rsidRDefault="001A1048">
      <w:pPr>
        <w:pStyle w:val="af8"/>
      </w:pPr>
    </w:p>
    <w:p w14:paraId="5CC030F7" w14:textId="77777777" w:rsidR="001A1048" w:rsidRDefault="001A1048"/>
    <w:p w14:paraId="54234973" w14:textId="77777777" w:rsidR="001A1048" w:rsidRDefault="001A1048">
      <w:pPr>
        <w:pStyle w:val="af6"/>
      </w:pPr>
    </w:p>
    <w:p w14:paraId="68C592D2" w14:textId="77777777" w:rsidR="001A1048" w:rsidRDefault="001A1048"/>
    <w:p w14:paraId="7E9E7E84" w14:textId="77777777" w:rsidR="001A1048" w:rsidRDefault="001A1048" w:rsidP="00DC7BD8">
      <w:pPr>
        <w:spacing w:after="0" w:line="240" w:lineRule="auto"/>
      </w:pPr>
      <w:r>
        <w:separator/>
      </w:r>
    </w:p>
  </w:footnote>
  <w:footnote w:type="continuationSeparator" w:id="0">
    <w:p w14:paraId="440E1BAC" w14:textId="77777777" w:rsidR="001A1048" w:rsidRDefault="001A1048" w:rsidP="00DC7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B55FC"/>
    <w:multiLevelType w:val="hybridMultilevel"/>
    <w:tmpl w:val="6F826CE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B83566"/>
    <w:multiLevelType w:val="hybridMultilevel"/>
    <w:tmpl w:val="93466772"/>
    <w:lvl w:ilvl="0" w:tplc="5172FA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31271FF"/>
    <w:multiLevelType w:val="hybridMultilevel"/>
    <w:tmpl w:val="F000D12C"/>
    <w:lvl w:ilvl="0" w:tplc="5172FA5A">
      <w:start w:val="1"/>
      <w:numFmt w:val="decimal"/>
      <w:lvlText w:val="%1."/>
      <w:lvlJc w:val="left"/>
      <w:pPr>
        <w:ind w:left="509" w:hanging="480"/>
      </w:pPr>
      <w:rPr>
        <w:rFonts w:hint="eastAsia"/>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 w15:restartNumberingAfterBreak="0">
    <w:nsid w:val="39D73812"/>
    <w:multiLevelType w:val="hybridMultilevel"/>
    <w:tmpl w:val="A29EF424"/>
    <w:lvl w:ilvl="0" w:tplc="E13C79BA">
      <w:start w:val="1"/>
      <w:numFmt w:val="decimal"/>
      <w:lvlText w:val="(%1)"/>
      <w:lvlJc w:val="left"/>
      <w:pPr>
        <w:ind w:left="1045" w:hanging="480"/>
      </w:pPr>
      <w:rPr>
        <w:rFonts w:hint="eastAsia"/>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4" w15:restartNumberingAfterBreak="0">
    <w:nsid w:val="534135BB"/>
    <w:multiLevelType w:val="hybridMultilevel"/>
    <w:tmpl w:val="1D4E9406"/>
    <w:lvl w:ilvl="0" w:tplc="04090013">
      <w:start w:val="1"/>
      <w:numFmt w:val="upperRoman"/>
      <w:lvlText w:val="%1."/>
      <w:lvlJc w:val="left"/>
      <w:pPr>
        <w:ind w:left="989" w:hanging="480"/>
      </w:p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5" w15:restartNumberingAfterBreak="0">
    <w:nsid w:val="76352F89"/>
    <w:multiLevelType w:val="hybridMultilevel"/>
    <w:tmpl w:val="D746338E"/>
    <w:lvl w:ilvl="0" w:tplc="5EFEC72E">
      <w:start w:val="1"/>
      <w:numFmt w:val="decimal"/>
      <w:lvlText w:val="%1."/>
      <w:lvlJc w:val="left"/>
      <w:pPr>
        <w:ind w:left="1578" w:hanging="360"/>
      </w:pPr>
      <w:rPr>
        <w:rFonts w:hint="default"/>
      </w:rPr>
    </w:lvl>
    <w:lvl w:ilvl="1" w:tplc="04090019" w:tentative="1">
      <w:start w:val="1"/>
      <w:numFmt w:val="ideographTraditional"/>
      <w:lvlText w:val="%2、"/>
      <w:lvlJc w:val="left"/>
      <w:pPr>
        <w:ind w:left="2178" w:hanging="480"/>
      </w:pPr>
    </w:lvl>
    <w:lvl w:ilvl="2" w:tplc="0409001B" w:tentative="1">
      <w:start w:val="1"/>
      <w:numFmt w:val="lowerRoman"/>
      <w:lvlText w:val="%3."/>
      <w:lvlJc w:val="right"/>
      <w:pPr>
        <w:ind w:left="2658" w:hanging="480"/>
      </w:pPr>
    </w:lvl>
    <w:lvl w:ilvl="3" w:tplc="0409000F" w:tentative="1">
      <w:start w:val="1"/>
      <w:numFmt w:val="decimal"/>
      <w:lvlText w:val="%4."/>
      <w:lvlJc w:val="left"/>
      <w:pPr>
        <w:ind w:left="3138" w:hanging="480"/>
      </w:pPr>
    </w:lvl>
    <w:lvl w:ilvl="4" w:tplc="04090019" w:tentative="1">
      <w:start w:val="1"/>
      <w:numFmt w:val="ideographTraditional"/>
      <w:lvlText w:val="%5、"/>
      <w:lvlJc w:val="left"/>
      <w:pPr>
        <w:ind w:left="3618" w:hanging="480"/>
      </w:pPr>
    </w:lvl>
    <w:lvl w:ilvl="5" w:tplc="0409001B" w:tentative="1">
      <w:start w:val="1"/>
      <w:numFmt w:val="lowerRoman"/>
      <w:lvlText w:val="%6."/>
      <w:lvlJc w:val="right"/>
      <w:pPr>
        <w:ind w:left="4098" w:hanging="480"/>
      </w:pPr>
    </w:lvl>
    <w:lvl w:ilvl="6" w:tplc="0409000F" w:tentative="1">
      <w:start w:val="1"/>
      <w:numFmt w:val="decimal"/>
      <w:lvlText w:val="%7."/>
      <w:lvlJc w:val="left"/>
      <w:pPr>
        <w:ind w:left="4578" w:hanging="480"/>
      </w:pPr>
    </w:lvl>
    <w:lvl w:ilvl="7" w:tplc="04090019" w:tentative="1">
      <w:start w:val="1"/>
      <w:numFmt w:val="ideographTraditional"/>
      <w:lvlText w:val="%8、"/>
      <w:lvlJc w:val="left"/>
      <w:pPr>
        <w:ind w:left="5058" w:hanging="480"/>
      </w:pPr>
    </w:lvl>
    <w:lvl w:ilvl="8" w:tplc="0409001B" w:tentative="1">
      <w:start w:val="1"/>
      <w:numFmt w:val="lowerRoman"/>
      <w:lvlText w:val="%9."/>
      <w:lvlJc w:val="right"/>
      <w:pPr>
        <w:ind w:left="5538" w:hanging="480"/>
      </w:pPr>
    </w:lvl>
  </w:abstractNum>
  <w:abstractNum w:abstractNumId="6"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B9"/>
    <w:rsid w:val="00000A3D"/>
    <w:rsid w:val="00001783"/>
    <w:rsid w:val="00007CB7"/>
    <w:rsid w:val="00012DC2"/>
    <w:rsid w:val="00014ACE"/>
    <w:rsid w:val="000530CB"/>
    <w:rsid w:val="0008025E"/>
    <w:rsid w:val="00086F95"/>
    <w:rsid w:val="000A0DB3"/>
    <w:rsid w:val="000D33C5"/>
    <w:rsid w:val="000E198D"/>
    <w:rsid w:val="000F0D73"/>
    <w:rsid w:val="00111280"/>
    <w:rsid w:val="00131DEB"/>
    <w:rsid w:val="00142F63"/>
    <w:rsid w:val="00156DAE"/>
    <w:rsid w:val="001671F2"/>
    <w:rsid w:val="001A1048"/>
    <w:rsid w:val="001A4764"/>
    <w:rsid w:val="001B7395"/>
    <w:rsid w:val="001C7B52"/>
    <w:rsid w:val="001D010F"/>
    <w:rsid w:val="002031AD"/>
    <w:rsid w:val="00205497"/>
    <w:rsid w:val="00211594"/>
    <w:rsid w:val="002431CA"/>
    <w:rsid w:val="00254E21"/>
    <w:rsid w:val="0027077D"/>
    <w:rsid w:val="0028646A"/>
    <w:rsid w:val="002B4A2C"/>
    <w:rsid w:val="002C4F52"/>
    <w:rsid w:val="002C689C"/>
    <w:rsid w:val="002E7C28"/>
    <w:rsid w:val="0033012C"/>
    <w:rsid w:val="00340D89"/>
    <w:rsid w:val="003439E2"/>
    <w:rsid w:val="0035596E"/>
    <w:rsid w:val="003670BE"/>
    <w:rsid w:val="00387FCA"/>
    <w:rsid w:val="003A4131"/>
    <w:rsid w:val="003B2286"/>
    <w:rsid w:val="003D7D60"/>
    <w:rsid w:val="003E1DB9"/>
    <w:rsid w:val="003E79BA"/>
    <w:rsid w:val="004049DB"/>
    <w:rsid w:val="00422F04"/>
    <w:rsid w:val="00433B7F"/>
    <w:rsid w:val="004445B9"/>
    <w:rsid w:val="00455DE9"/>
    <w:rsid w:val="004676D5"/>
    <w:rsid w:val="00475F38"/>
    <w:rsid w:val="00482A7D"/>
    <w:rsid w:val="004E4901"/>
    <w:rsid w:val="005054AE"/>
    <w:rsid w:val="0051511B"/>
    <w:rsid w:val="00542408"/>
    <w:rsid w:val="005607BB"/>
    <w:rsid w:val="005703AD"/>
    <w:rsid w:val="0058029D"/>
    <w:rsid w:val="00583FB2"/>
    <w:rsid w:val="00585BDF"/>
    <w:rsid w:val="005946F2"/>
    <w:rsid w:val="00594E5B"/>
    <w:rsid w:val="005A42C9"/>
    <w:rsid w:val="005C02A4"/>
    <w:rsid w:val="005C2F01"/>
    <w:rsid w:val="006128E4"/>
    <w:rsid w:val="00634092"/>
    <w:rsid w:val="00655B28"/>
    <w:rsid w:val="006C12AF"/>
    <w:rsid w:val="006F4943"/>
    <w:rsid w:val="007212A1"/>
    <w:rsid w:val="00725D20"/>
    <w:rsid w:val="00731B37"/>
    <w:rsid w:val="00740FF4"/>
    <w:rsid w:val="00752371"/>
    <w:rsid w:val="00755196"/>
    <w:rsid w:val="007B225E"/>
    <w:rsid w:val="007B4E4F"/>
    <w:rsid w:val="007C23F8"/>
    <w:rsid w:val="007C7F64"/>
    <w:rsid w:val="007F793F"/>
    <w:rsid w:val="008060AA"/>
    <w:rsid w:val="00811102"/>
    <w:rsid w:val="00831AA3"/>
    <w:rsid w:val="00836C11"/>
    <w:rsid w:val="00885E38"/>
    <w:rsid w:val="00896E46"/>
    <w:rsid w:val="008A24A2"/>
    <w:rsid w:val="008B14D0"/>
    <w:rsid w:val="008E427D"/>
    <w:rsid w:val="00910A7A"/>
    <w:rsid w:val="00916689"/>
    <w:rsid w:val="00935B20"/>
    <w:rsid w:val="009431E6"/>
    <w:rsid w:val="00954219"/>
    <w:rsid w:val="00972C96"/>
    <w:rsid w:val="00973262"/>
    <w:rsid w:val="00994238"/>
    <w:rsid w:val="009B7D20"/>
    <w:rsid w:val="009C2BFC"/>
    <w:rsid w:val="00A00879"/>
    <w:rsid w:val="00A052E9"/>
    <w:rsid w:val="00A06F2A"/>
    <w:rsid w:val="00A169B8"/>
    <w:rsid w:val="00A222F7"/>
    <w:rsid w:val="00A23262"/>
    <w:rsid w:val="00A25DFB"/>
    <w:rsid w:val="00A41735"/>
    <w:rsid w:val="00A665A3"/>
    <w:rsid w:val="00A77B18"/>
    <w:rsid w:val="00A80379"/>
    <w:rsid w:val="00A87E9E"/>
    <w:rsid w:val="00AE2013"/>
    <w:rsid w:val="00B06D77"/>
    <w:rsid w:val="00B210AC"/>
    <w:rsid w:val="00B24C3D"/>
    <w:rsid w:val="00B360BF"/>
    <w:rsid w:val="00B768FC"/>
    <w:rsid w:val="00B82E89"/>
    <w:rsid w:val="00B874B0"/>
    <w:rsid w:val="00B951F1"/>
    <w:rsid w:val="00B972A8"/>
    <w:rsid w:val="00BA57A6"/>
    <w:rsid w:val="00BB2EFA"/>
    <w:rsid w:val="00BC3BC6"/>
    <w:rsid w:val="00BE5815"/>
    <w:rsid w:val="00BF1E8A"/>
    <w:rsid w:val="00BF394F"/>
    <w:rsid w:val="00C00F3B"/>
    <w:rsid w:val="00C129CB"/>
    <w:rsid w:val="00C16D7B"/>
    <w:rsid w:val="00C22D89"/>
    <w:rsid w:val="00C333B1"/>
    <w:rsid w:val="00C3576E"/>
    <w:rsid w:val="00C451CA"/>
    <w:rsid w:val="00C54F3E"/>
    <w:rsid w:val="00C93EBD"/>
    <w:rsid w:val="00CA4A46"/>
    <w:rsid w:val="00CC079D"/>
    <w:rsid w:val="00CD2ACE"/>
    <w:rsid w:val="00CE5E19"/>
    <w:rsid w:val="00CF443A"/>
    <w:rsid w:val="00D202DA"/>
    <w:rsid w:val="00D26699"/>
    <w:rsid w:val="00D2687B"/>
    <w:rsid w:val="00D876BD"/>
    <w:rsid w:val="00D87BD9"/>
    <w:rsid w:val="00D9685B"/>
    <w:rsid w:val="00DC7BD8"/>
    <w:rsid w:val="00DE4FC3"/>
    <w:rsid w:val="00DF66BF"/>
    <w:rsid w:val="00E36301"/>
    <w:rsid w:val="00E40E5F"/>
    <w:rsid w:val="00E422F3"/>
    <w:rsid w:val="00E521B3"/>
    <w:rsid w:val="00E67C6A"/>
    <w:rsid w:val="00E87EC6"/>
    <w:rsid w:val="00E953AB"/>
    <w:rsid w:val="00EA6C8B"/>
    <w:rsid w:val="00EB4F75"/>
    <w:rsid w:val="00ED6659"/>
    <w:rsid w:val="00F0738F"/>
    <w:rsid w:val="00F23D3D"/>
    <w:rsid w:val="00F37623"/>
    <w:rsid w:val="00F4365D"/>
    <w:rsid w:val="00F43C99"/>
    <w:rsid w:val="00F76D54"/>
    <w:rsid w:val="00FA0C6C"/>
    <w:rsid w:val="00FC1C04"/>
    <w:rsid w:val="00FC7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913D"/>
  <w15:docId w15:val="{04FE7CA5-CA47-4A37-8717-4E0F4CD5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2E9"/>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paragraph" w:styleId="af6">
    <w:name w:val="header"/>
    <w:basedOn w:val="a0"/>
    <w:link w:val="af7"/>
    <w:uiPriority w:val="99"/>
    <w:unhideWhenUsed/>
    <w:rsid w:val="00DC7BD8"/>
    <w:pPr>
      <w:tabs>
        <w:tab w:val="center" w:pos="4153"/>
        <w:tab w:val="right" w:pos="8306"/>
      </w:tabs>
      <w:snapToGrid w:val="0"/>
    </w:pPr>
    <w:rPr>
      <w:sz w:val="20"/>
      <w:szCs w:val="20"/>
    </w:rPr>
  </w:style>
  <w:style w:type="character" w:customStyle="1" w:styleId="af7">
    <w:name w:val="頁首 字元"/>
    <w:basedOn w:val="a1"/>
    <w:link w:val="af6"/>
    <w:uiPriority w:val="99"/>
    <w:rsid w:val="00DC7BD8"/>
    <w:rPr>
      <w:iCs/>
      <w:sz w:val="20"/>
      <w:szCs w:val="20"/>
    </w:rPr>
  </w:style>
  <w:style w:type="paragraph" w:styleId="af8">
    <w:name w:val="footer"/>
    <w:basedOn w:val="a0"/>
    <w:link w:val="af9"/>
    <w:uiPriority w:val="99"/>
    <w:unhideWhenUsed/>
    <w:rsid w:val="00DC7BD8"/>
    <w:pPr>
      <w:tabs>
        <w:tab w:val="center" w:pos="4153"/>
        <w:tab w:val="right" w:pos="8306"/>
      </w:tabs>
      <w:snapToGrid w:val="0"/>
    </w:pPr>
    <w:rPr>
      <w:sz w:val="20"/>
      <w:szCs w:val="20"/>
    </w:rPr>
  </w:style>
  <w:style w:type="character" w:customStyle="1" w:styleId="af9">
    <w:name w:val="頁尾 字元"/>
    <w:basedOn w:val="a1"/>
    <w:link w:val="af8"/>
    <w:uiPriority w:val="99"/>
    <w:rsid w:val="00DC7BD8"/>
    <w:rPr>
      <w:iCs/>
      <w:sz w:val="20"/>
      <w:szCs w:val="20"/>
    </w:rPr>
  </w:style>
  <w:style w:type="paragraph" w:styleId="afa">
    <w:name w:val="Body Text"/>
    <w:basedOn w:val="a0"/>
    <w:link w:val="afb"/>
    <w:uiPriority w:val="1"/>
    <w:qFormat/>
    <w:rsid w:val="00D2687B"/>
    <w:pPr>
      <w:widowControl w:val="0"/>
      <w:spacing w:after="0" w:line="240" w:lineRule="auto"/>
      <w:ind w:left="112"/>
    </w:pPr>
    <w:rPr>
      <w:rFonts w:ascii="標楷體" w:eastAsia="標楷體" w:hAnsi="標楷體"/>
      <w:iCs w:val="0"/>
      <w:sz w:val="28"/>
      <w:szCs w:val="28"/>
      <w:lang w:eastAsia="en-US"/>
    </w:rPr>
  </w:style>
  <w:style w:type="character" w:customStyle="1" w:styleId="afb">
    <w:name w:val="本文 字元"/>
    <w:basedOn w:val="a1"/>
    <w:link w:val="afa"/>
    <w:uiPriority w:val="1"/>
    <w:rsid w:val="00D2687B"/>
    <w:rPr>
      <w:rFonts w:ascii="標楷體" w:eastAsia="標楷體" w:hAnsi="標楷體"/>
      <w:sz w:val="28"/>
      <w:szCs w:val="28"/>
      <w:lang w:eastAsia="en-US"/>
    </w:rPr>
  </w:style>
  <w:style w:type="table" w:styleId="afc">
    <w:name w:val="Table Grid"/>
    <w:basedOn w:val="a2"/>
    <w:uiPriority w:val="39"/>
    <w:rsid w:val="00CF443A"/>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CF443A"/>
    <w:rPr>
      <w:sz w:val="18"/>
      <w:szCs w:val="18"/>
    </w:rPr>
  </w:style>
  <w:style w:type="paragraph" w:styleId="afe">
    <w:name w:val="annotation text"/>
    <w:basedOn w:val="a0"/>
    <w:link w:val="aff"/>
    <w:uiPriority w:val="99"/>
    <w:semiHidden/>
    <w:unhideWhenUsed/>
    <w:rsid w:val="00CF443A"/>
  </w:style>
  <w:style w:type="character" w:customStyle="1" w:styleId="aff">
    <w:name w:val="註解文字 字元"/>
    <w:basedOn w:val="a1"/>
    <w:link w:val="afe"/>
    <w:uiPriority w:val="99"/>
    <w:semiHidden/>
    <w:rsid w:val="00CF443A"/>
    <w:rPr>
      <w:iCs/>
      <w:sz w:val="21"/>
      <w:szCs w:val="21"/>
    </w:rPr>
  </w:style>
  <w:style w:type="paragraph" w:styleId="aff0">
    <w:name w:val="Balloon Text"/>
    <w:basedOn w:val="a0"/>
    <w:link w:val="aff1"/>
    <w:uiPriority w:val="99"/>
    <w:semiHidden/>
    <w:unhideWhenUsed/>
    <w:rsid w:val="00CF443A"/>
    <w:pPr>
      <w:spacing w:after="0" w:line="240" w:lineRule="auto"/>
    </w:pPr>
    <w:rPr>
      <w:rFonts w:asciiTheme="majorHAnsi" w:eastAsiaTheme="majorEastAsia" w:hAnsiTheme="majorHAnsi" w:cstheme="majorBidi"/>
      <w:sz w:val="18"/>
      <w:szCs w:val="18"/>
    </w:rPr>
  </w:style>
  <w:style w:type="character" w:customStyle="1" w:styleId="aff1">
    <w:name w:val="註解方塊文字 字元"/>
    <w:basedOn w:val="a1"/>
    <w:link w:val="aff0"/>
    <w:uiPriority w:val="99"/>
    <w:semiHidden/>
    <w:rsid w:val="00CF443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265632">
      <w:bodyDiv w:val="1"/>
      <w:marLeft w:val="0"/>
      <w:marRight w:val="0"/>
      <w:marTop w:val="0"/>
      <w:marBottom w:val="0"/>
      <w:divBdr>
        <w:top w:val="none" w:sz="0" w:space="0" w:color="auto"/>
        <w:left w:val="none" w:sz="0" w:space="0" w:color="auto"/>
        <w:bottom w:val="none" w:sz="0" w:space="0" w:color="auto"/>
        <w:right w:val="none" w:sz="0" w:space="0" w:color="auto"/>
      </w:divBdr>
    </w:div>
    <w:div w:id="1036008013">
      <w:bodyDiv w:val="1"/>
      <w:marLeft w:val="0"/>
      <w:marRight w:val="0"/>
      <w:marTop w:val="0"/>
      <w:marBottom w:val="0"/>
      <w:divBdr>
        <w:top w:val="none" w:sz="0" w:space="0" w:color="auto"/>
        <w:left w:val="none" w:sz="0" w:space="0" w:color="auto"/>
        <w:bottom w:val="none" w:sz="0" w:space="0" w:color="auto"/>
        <w:right w:val="none" w:sz="0" w:space="0" w:color="auto"/>
      </w:divBdr>
    </w:div>
    <w:div w:id="172806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2023-06-09T05:45:00Z</cp:lastPrinted>
  <dcterms:created xsi:type="dcterms:W3CDTF">2024-08-05T06:56:00Z</dcterms:created>
  <dcterms:modified xsi:type="dcterms:W3CDTF">2024-08-05T06:56:00Z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1b0afea463cf73caac67f72c027767d22995fafb55030bf91bd6ee0d3120fb44</vt:lpwstr>
  </property>
</Properties>
</file>