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41F2" w14:textId="7EDA2FEB" w:rsidR="006A712B" w:rsidRPr="00671272" w:rsidRDefault="006A712B" w:rsidP="00671272">
      <w:pPr>
        <w:widowControl w:val="0"/>
        <w:spacing w:after="0" w:line="0" w:lineRule="atLeast"/>
        <w:jc w:val="center"/>
        <w:rPr>
          <w:rFonts w:ascii="Times New Roman" w:eastAsia="標楷體" w:hAnsi="Times New Roman" w:cs="Times New Roman"/>
          <w:b/>
          <w:bCs/>
          <w:iCs w:val="0"/>
          <w:color w:val="000000" w:themeColor="text1"/>
          <w:kern w:val="2"/>
          <w:sz w:val="36"/>
          <w:szCs w:val="36"/>
        </w:rPr>
      </w:pPr>
      <w:r w:rsidRPr="00671272">
        <w:rPr>
          <w:rFonts w:ascii="Times New Roman" w:eastAsia="標楷體" w:hAnsi="Times New Roman" w:cs="Times New Roman"/>
          <w:b/>
          <w:bCs/>
          <w:iCs w:val="0"/>
          <w:color w:val="000000" w:themeColor="text1"/>
          <w:kern w:val="2"/>
          <w:sz w:val="36"/>
          <w:szCs w:val="36"/>
        </w:rPr>
        <w:t xml:space="preserve">Directions for Faculty Employment of </w:t>
      </w:r>
      <w:r w:rsidR="00901F97" w:rsidRPr="00671272">
        <w:rPr>
          <w:rFonts w:ascii="Times New Roman" w:eastAsia="標楷體" w:hAnsi="Times New Roman" w:cs="Times New Roman"/>
          <w:b/>
          <w:bCs/>
          <w:iCs w:val="0"/>
          <w:color w:val="000000" w:themeColor="text1"/>
          <w:kern w:val="2"/>
          <w:sz w:val="36"/>
          <w:szCs w:val="36"/>
        </w:rPr>
        <w:t>College of Engineering of</w:t>
      </w:r>
      <w:r w:rsidRPr="00671272">
        <w:rPr>
          <w:rFonts w:ascii="Times New Roman" w:eastAsia="標楷體" w:hAnsi="Times New Roman" w:cs="Times New Roman"/>
          <w:b/>
          <w:bCs/>
          <w:iCs w:val="0"/>
          <w:color w:val="000000" w:themeColor="text1"/>
          <w:kern w:val="2"/>
          <w:sz w:val="36"/>
          <w:szCs w:val="36"/>
        </w:rPr>
        <w:t xml:space="preserve"> National Sun Yat-sen University</w:t>
      </w:r>
    </w:p>
    <w:p w14:paraId="79CCC44D" w14:textId="42282629" w:rsidR="00050309" w:rsidRDefault="00050309" w:rsidP="00671272">
      <w:pPr>
        <w:widowControl w:val="0"/>
        <w:spacing w:after="0" w:line="0" w:lineRule="atLeas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</w:p>
    <w:p w14:paraId="194CCBD6" w14:textId="77777777" w:rsidR="006902F4" w:rsidRPr="00671272" w:rsidRDefault="006902F4" w:rsidP="00671272">
      <w:pPr>
        <w:widowControl w:val="0"/>
        <w:spacing w:after="0" w:line="0" w:lineRule="atLeast"/>
        <w:jc w:val="right"/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</w:pPr>
    </w:p>
    <w:p w14:paraId="1399EE57" w14:textId="02724285" w:rsidR="006B3C57" w:rsidRPr="00671272" w:rsidRDefault="006B3C57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bookmarkStart w:id="0" w:name="_Hlk59251816"/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2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nd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College Affairs Meeting of the </w:t>
      </w:r>
      <w:r w:rsidR="007D73B4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1997 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academic year</w:t>
      </w:r>
      <w:bookmarkEnd w:id="0"/>
      <w:r w:rsidR="00671272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on January 19, 1998</w:t>
      </w:r>
    </w:p>
    <w:p w14:paraId="11ADA963" w14:textId="232959D4" w:rsidR="0059615D" w:rsidRPr="00671272" w:rsidRDefault="00FE590A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197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th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University Faculty Evaluation Committee</w:t>
      </w:r>
      <w:r w:rsidR="00671272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Meeting on March 25, 1998</w:t>
      </w:r>
    </w:p>
    <w:p w14:paraId="3A22C4BF" w14:textId="20E0C2CE" w:rsidR="0059615D" w:rsidRPr="00671272" w:rsidRDefault="0059615D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bookmarkStart w:id="1" w:name="_Hlk59251863"/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2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nd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College Affairs Meeting of the </w:t>
      </w:r>
      <w:r w:rsidR="009E0B72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2003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academic year</w:t>
      </w:r>
      <w:bookmarkEnd w:id="1"/>
      <w:r w:rsidR="00671272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on June 16, 2004</w:t>
      </w:r>
    </w:p>
    <w:p w14:paraId="6065A026" w14:textId="33769ACA" w:rsidR="00253EB7" w:rsidRPr="00671272" w:rsidRDefault="00253EB7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bookmarkStart w:id="2" w:name="_Hlk59252220"/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291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st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University Faculty Evaluation Committee Meeting o</w:t>
      </w:r>
      <w:bookmarkEnd w:id="2"/>
      <w:r w:rsidR="00671272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n September 30, 2004</w:t>
      </w:r>
    </w:p>
    <w:p w14:paraId="13E737BB" w14:textId="7A38269C" w:rsidR="00AD7DE7" w:rsidRPr="00671272" w:rsidRDefault="00AD7DE7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1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st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College Affairs Meeting of the 200</w:t>
      </w:r>
      <w:r w:rsidR="009D2990"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5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academic year</w:t>
      </w:r>
      <w:r w:rsidR="00671272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November 18, 2005</w:t>
      </w:r>
    </w:p>
    <w:p w14:paraId="5C8F596B" w14:textId="0C6E9A4D" w:rsidR="003A5BA2" w:rsidRPr="00671272" w:rsidRDefault="003A5BA2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298</w:t>
      </w:r>
      <w:r w:rsidRPr="00281D5E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th</w:t>
      </w:r>
      <w:r w:rsidRPr="00671272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University Faculty Evaluation Committee</w:t>
      </w:r>
      <w:r w:rsidR="007B16D8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Meeting o</w:t>
      </w:r>
      <w:r w:rsidR="007B16D8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December 1, 2005</w:t>
      </w:r>
    </w:p>
    <w:p w14:paraId="12C43B8B" w14:textId="15B51B8C" w:rsidR="00EB6B2E" w:rsidRPr="00CF15D0" w:rsidRDefault="00EB6B2E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4th College Affairs Meeting of the 200</w:t>
      </w:r>
      <w:r w:rsidR="00506550"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8</w:t>
      </w: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academic year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June 10, 2009</w:t>
      </w:r>
    </w:p>
    <w:p w14:paraId="17B201FF" w14:textId="0714EBE0" w:rsidR="00BC26AF" w:rsidRPr="00CF15D0" w:rsidRDefault="00BC26AF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323rd University Faculty Evaluation Committee</w:t>
      </w:r>
      <w:r w:rsidR="007B16D8"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Meeting o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October 8, 2009</w:t>
      </w:r>
    </w:p>
    <w:p w14:paraId="7E524522" w14:textId="6378E4E2" w:rsidR="002C6EF9" w:rsidRPr="00CF15D0" w:rsidRDefault="002C6EF9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2nd College Affairs Meeting of the 2016 academic year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February 20, 2017</w:t>
      </w:r>
    </w:p>
    <w:p w14:paraId="7503D602" w14:textId="0E79D156" w:rsidR="006D5E9A" w:rsidRPr="00CF15D0" w:rsidRDefault="006D5E9A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379th University Faculty Evaluation Committee</w:t>
      </w:r>
      <w:r w:rsidR="007B16D8"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 xml:space="preserve"> Meeting o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March 23, 2017</w:t>
      </w:r>
    </w:p>
    <w:p w14:paraId="179EB5B2" w14:textId="7E02C07C" w:rsidR="0010253C" w:rsidRPr="00CF15D0" w:rsidRDefault="0010253C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3rd College Affairs Meeting of the 2016 academic year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 xml:space="preserve"> on May 25, 2017</w:t>
      </w:r>
    </w:p>
    <w:p w14:paraId="7A811A54" w14:textId="55B22088" w:rsidR="0012211F" w:rsidRPr="00CF15D0" w:rsidRDefault="0012211F" w:rsidP="006902F4">
      <w:pPr>
        <w:widowControl w:val="0"/>
        <w:wordWrap w:val="0"/>
        <w:spacing w:after="0" w:line="280" w:lineRule="exact"/>
        <w:jc w:val="righ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</w:pPr>
      <w:r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Approved at the 381st University Faculty Evalua</w:t>
      </w:r>
      <w:r w:rsidR="007B16D8" w:rsidRPr="00CF15D0">
        <w:rPr>
          <w:rFonts w:ascii="Times New Roman" w:eastAsia="標楷體" w:hAnsi="Times New Roman" w:cs="Times New Roman"/>
          <w:iCs w:val="0"/>
          <w:color w:val="000000" w:themeColor="text1"/>
          <w:kern w:val="2"/>
          <w:sz w:val="18"/>
          <w:szCs w:val="18"/>
        </w:rPr>
        <w:t>tion Committee Meeting o</w:t>
      </w:r>
      <w:r w:rsidR="007B16D8" w:rsidRPr="00CF15D0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18"/>
          <w:szCs w:val="18"/>
        </w:rPr>
        <w:t>n June 15, 2017</w:t>
      </w:r>
    </w:p>
    <w:p w14:paraId="0FF63A18" w14:textId="32349B86" w:rsidR="00CF15D0" w:rsidRPr="00CF15D0" w:rsidRDefault="00CF15D0" w:rsidP="00671272">
      <w:pPr>
        <w:widowControl w:val="0"/>
        <w:adjustRightInd w:val="0"/>
        <w:snapToGrid w:val="0"/>
        <w:spacing w:beforeLines="50" w:before="180" w:afterLines="50" w:after="180" w:line="0" w:lineRule="atLeast"/>
        <w:ind w:left="480" w:hangingChars="200" w:hanging="480"/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</w:pPr>
    </w:p>
    <w:p w14:paraId="6D4A611B" w14:textId="597C3814" w:rsidR="006902F4" w:rsidRDefault="007B16D8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2D1E9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Directions for Faculty Employment (hereinafter referred to as “the Directions”) </w:t>
      </w:r>
      <w:r w:rsidR="0068325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of 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2D1E9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College of Engineering</w:t>
      </w:r>
      <w:r w:rsidR="0068325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(hereinafter referred to as “the College”)</w:t>
      </w:r>
      <w:r w:rsidR="004B16B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are </w:t>
      </w:r>
      <w:r w:rsidR="0045508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formulat</w:t>
      </w:r>
      <w:r w:rsidR="004B16B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ed </w:t>
      </w:r>
      <w:r w:rsidR="0045508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 accordance with</w:t>
      </w:r>
      <w:r w:rsidR="00063B2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063B2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Regulations for 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281D5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Establishment of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a </w:t>
      </w:r>
      <w:r w:rsidR="00063B2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Faculty Evaluation Committee and </w:t>
      </w:r>
      <w:r w:rsidR="004F2AA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Regulations fo</w:t>
      </w:r>
      <w:r w:rsidR="00281D5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 Appointment Qualifications of 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4F2AA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Faculty and Researchers</w:t>
      </w:r>
      <w:r w:rsidR="004B16B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of</w:t>
      </w:r>
      <w:r w:rsidR="004B16B7" w:rsidRPr="006902F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4B16B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National Sun Yat-sen University</w:t>
      </w:r>
      <w:r w:rsidR="002D1E9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(hereinafter referred to as “NSYSU”)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,</w:t>
      </w:r>
      <w:r w:rsidR="00EC140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in order to review employment of full-time and part-time faculty of the College.</w:t>
      </w:r>
    </w:p>
    <w:p w14:paraId="0D803DFF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794550DA" w14:textId="733BC24A" w:rsidR="006902F4" w:rsidRDefault="00D30E0D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New full-time or part-time faculty member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s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must </w:t>
      </w:r>
      <w:r w:rsidR="00724CA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meet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requirements </w:t>
      </w:r>
      <w:r w:rsidR="00724CA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specified in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5F3D6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Regulations for Appointment Qualifications of </w:t>
      </w:r>
      <w:r w:rsidR="00281D5E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5F3D6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Faculty and Researchers of NSYSU </w:t>
      </w:r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and obtain</w:t>
      </w:r>
      <w:r w:rsidR="00724CA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the first</w:t>
      </w:r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approval from 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Department </w:t>
      </w:r>
      <w:bookmarkStart w:id="3" w:name="_Hlk59138325"/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Faculty Evaluation Committee</w:t>
      </w:r>
      <w:bookmarkEnd w:id="3"/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724CA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before</w:t>
      </w:r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the second review conducted by 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6D569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College Faculty Evaluation Committee</w:t>
      </w:r>
      <w:r w:rsidR="00C1289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</w:p>
    <w:p w14:paraId="56997DE7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32AC101" w14:textId="0A3B0BBF" w:rsidR="006902F4" w:rsidRDefault="00605196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College is required to conduct </w:t>
      </w:r>
      <w:r w:rsidR="003B65F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</w:t>
      </w:r>
      <w:r w:rsidR="006844F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n external </w:t>
      </w:r>
      <w:r w:rsidR="00F95EB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</w:t>
      </w:r>
      <w:r w:rsidR="00576E5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6844F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review </w:t>
      </w:r>
      <w:r w:rsidR="003B65F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to</w:t>
      </w:r>
      <w:r w:rsidR="006844F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employ a full-time or part-time </w:t>
      </w:r>
      <w:r w:rsidR="009B341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faculty member</w:t>
      </w:r>
      <w:r w:rsidR="008C7EE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at the rank of assistant professor or higher</w:t>
      </w:r>
      <w:r w:rsidR="00576E5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 If the candidate</w:t>
      </w:r>
      <w:r w:rsidR="0052247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A4754B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with</w:t>
      </w:r>
      <w:r w:rsidR="0052247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 teacher certificate</w:t>
      </w:r>
      <w:r w:rsidR="00576E5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is recognized as</w:t>
      </w:r>
      <w:r w:rsidR="00513A3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</w:t>
      </w:r>
      <w:r w:rsidR="00F3748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national</w:t>
      </w:r>
      <w:r w:rsidR="00513A3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academician, fellow of an academy, National Chair Professor, </w:t>
      </w:r>
      <w:r w:rsidR="006A7BC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Chair Professor of a </w:t>
      </w:r>
      <w:r w:rsidR="0014260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prestigious</w:t>
      </w:r>
      <w:r w:rsidR="006A7BC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university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,</w:t>
      </w:r>
      <w:r w:rsidR="00225CC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or</w:t>
      </w:r>
      <w:r w:rsidR="0014260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world-renowned scholar</w:t>
      </w:r>
      <w:r w:rsidR="00225CC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by </w:t>
      </w:r>
      <w:r w:rsidR="00E00860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225CC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University Faculty Evaluation Committee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; has </w:t>
      </w:r>
      <w:r w:rsidR="00225CC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demonstrated </w:t>
      </w:r>
      <w:r w:rsidR="003A4CB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outstanding academic </w:t>
      </w:r>
      <w:r w:rsidR="00225CC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performance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; </w:t>
      </w:r>
      <w:r w:rsidR="00A44B6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or </w:t>
      </w:r>
      <w:r w:rsidR="004C1F3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has received 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4C1F3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Outstanding Research Award of Ministry of Science and Technology</w:t>
      </w:r>
      <w:r w:rsidR="001F126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, </w:t>
      </w:r>
      <w:r w:rsidR="00AE1EF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Young Scholars Award</w:t>
      </w:r>
      <w:r w:rsidR="009E07E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1F126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of</w:t>
      </w:r>
      <w:r w:rsidR="00A44B6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1F126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Academia Sinica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,</w:t>
      </w:r>
      <w:r w:rsidR="00B42B8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or Ta-You Wu Memorial Award of Ministry of Science and Technology</w:t>
      </w:r>
      <w:r w:rsidR="002C5DE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,</w:t>
      </w:r>
      <w:r w:rsidR="002C5DE5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no</w:t>
      </w:r>
      <w:r w:rsidR="009212D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external review is required</w:t>
      </w:r>
      <w:r w:rsidR="00520B33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, while the</w:t>
      </w:r>
      <w:r w:rsidR="00AD1AF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Faculty Evaluation Committee at any necessary level</w:t>
      </w:r>
      <w:r w:rsidR="009212D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2C5DE5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can </w:t>
      </w:r>
      <w:r w:rsidR="00AD1AF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directly </w:t>
      </w:r>
      <w:r w:rsidR="0035198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vote</w:t>
      </w:r>
      <w:r w:rsidR="009212D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AD1AF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to make the decision</w:t>
      </w:r>
      <w:r w:rsidR="005C0C7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. If the candidate does not hold a teacher certificate, </w:t>
      </w:r>
      <w:r w:rsidR="00E5569B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the external review </w:t>
      </w:r>
      <w:r w:rsidR="009A6DE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result </w:t>
      </w:r>
      <w:r w:rsidR="00E5569B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for employment of </w:t>
      </w:r>
      <w:r w:rsidR="00EA603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Chair Professor of NSYSU can be submitted as the external review </w:t>
      </w:r>
      <w:r w:rsidR="009A6DE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result </w:t>
      </w:r>
      <w:r w:rsidR="00EA603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for </w:t>
      </w:r>
      <w:r w:rsidR="009A6DE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employment of full-time faculty</w:t>
      </w:r>
      <w:r w:rsidR="00BD1FA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. </w:t>
      </w:r>
      <w:r w:rsidR="000761D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Other candidates who do not meet any </w:t>
      </w:r>
      <w:r w:rsidR="00E00860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of the </w:t>
      </w:r>
      <w:r w:rsidR="000761D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conditions stated above shall be reviewed externally.</w:t>
      </w:r>
      <w:r w:rsidR="00E2239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EB6D3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</w:t>
      </w:r>
      <w:r w:rsidR="0033676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candidate who is applying for the position of </w:t>
      </w:r>
      <w:r w:rsidR="009F6D9F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full-time or part-time </w:t>
      </w:r>
      <w:r w:rsidR="0033676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assistant professor </w:t>
      </w:r>
      <w:r w:rsidR="003F116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shall </w:t>
      </w:r>
      <w:r w:rsidR="00CF503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submit</w:t>
      </w:r>
      <w:r w:rsidR="003F1164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DA312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up to </w:t>
      </w:r>
      <w:r w:rsidR="004D46D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six</w:t>
      </w:r>
      <w:r w:rsidR="00DA312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bookmarkStart w:id="4" w:name="_Hlk59315393"/>
      <w:r w:rsidR="009511B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</w:t>
      </w:r>
      <w:r w:rsidR="00DA312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</w:t>
      </w:r>
      <w:bookmarkEnd w:id="4"/>
      <w:r w:rsidR="00D5172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(including </w:t>
      </w:r>
      <w:r w:rsidR="002C5DE5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his</w:t>
      </w:r>
      <w:r w:rsidR="00CB2EE8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or </w:t>
      </w:r>
      <w:r w:rsidR="002C5DE5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her</w:t>
      </w:r>
      <w:r w:rsidR="00E2239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D5172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thesis or dissertation) or technical reports</w:t>
      </w:r>
      <w:r w:rsidR="00DA312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completed after </w:t>
      </w:r>
      <w:r w:rsidR="00230BD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attain</w:t>
      </w:r>
      <w:r w:rsidR="00DA312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ing </w:t>
      </w:r>
      <w:r w:rsidR="00230BD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 current rank</w:t>
      </w:r>
      <w:r w:rsidR="00AE051F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</w:t>
      </w:r>
      <w:r w:rsidR="00CF503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The College will arrange the external review for the thesis or dissertation</w:t>
      </w:r>
      <w:r w:rsidR="00E22395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(publication)</w:t>
      </w:r>
      <w:r w:rsidR="00281A6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submitted</w:t>
      </w:r>
      <w:r w:rsidR="000D3EE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and the result </w:t>
      </w:r>
      <w:r w:rsidR="0011396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shall</w:t>
      </w:r>
      <w:r w:rsidR="000D3EE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be sent back to </w:t>
      </w:r>
      <w:r w:rsidR="002C5DE5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0D3EE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Department/Institute Faculty Evaluation Committee</w:t>
      </w:r>
      <w:r w:rsidR="0011396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a second review.</w:t>
      </w:r>
      <w:r w:rsidR="00122BB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candidates who are apply</w:t>
      </w:r>
      <w:r w:rsidR="006A6F1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ing</w:t>
      </w:r>
      <w:r w:rsidR="00122BB6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for the position of full-time or part-time associate professor or higher, </w:t>
      </w:r>
      <w:r w:rsidR="00566B0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up to </w:t>
      </w:r>
      <w:r w:rsidR="00B5758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ten</w:t>
      </w:r>
      <w:r w:rsidR="00566B0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</w:t>
      </w:r>
      <w:r w:rsidR="006A6F1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publications</w:t>
      </w:r>
      <w:r w:rsidR="00566B0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or technical reports completed after attaining the current rank</w:t>
      </w:r>
      <w:r w:rsidR="006E5751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shall be submitted and </w:t>
      </w:r>
      <w:r w:rsidR="00B5758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the review will be arranged</w:t>
      </w:r>
      <w:r w:rsidR="00E602F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by</w:t>
      </w:r>
      <w:r w:rsidR="00E602F7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the </w:t>
      </w:r>
      <w:r w:rsidR="00C70C0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University Faculty Evaluation Committee</w:t>
      </w:r>
      <w:r w:rsidR="00456B3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. If the candidate</w:t>
      </w:r>
      <w:r w:rsidR="00DE31E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is applying for the position of part-time assistant </w:t>
      </w:r>
      <w:r w:rsidR="00DE31E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lastRenderedPageBreak/>
        <w:t>professor or higher and</w:t>
      </w:r>
      <w:r w:rsidR="00456B3C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holds a teacher certificate</w:t>
      </w:r>
      <w:r w:rsidR="0036743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 equivalent to the level defined by </w:t>
      </w:r>
      <w:r w:rsidR="00E602F7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36743A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Ministry of Education</w:t>
      </w:r>
      <w:r w:rsidR="003659F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, </w:t>
      </w:r>
      <w:r w:rsidR="00E602F7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the </w:t>
      </w:r>
      <w:r w:rsidR="003659F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College </w:t>
      </w:r>
      <w:r w:rsidR="007E46D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Faculty Evaluation Committee is allowed to conduct the review without any external </w:t>
      </w:r>
      <w:r w:rsidR="00D2403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 xml:space="preserve">publication </w:t>
      </w:r>
      <w:r w:rsidR="007E46DD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  <w:t>reviews.</w:t>
      </w:r>
    </w:p>
    <w:p w14:paraId="163E63B3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7A2D77C" w14:textId="7D31872F" w:rsidR="006902F4" w:rsidRDefault="00EB727B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Newly employed full-time or part-time faculty members</w:t>
      </w:r>
      <w:r w:rsidR="00C75FC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of all departments and institutes shall submit</w:t>
      </w:r>
      <w:r w:rsidR="0030035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E00860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30035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necessary documents to </w:t>
      </w:r>
      <w:r w:rsidR="00996F52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0D2B48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College Faculty Evaluation Committee</w:t>
      </w:r>
      <w:r w:rsidR="00C75FC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three months prior to </w:t>
      </w:r>
      <w:r w:rsidR="00A44E5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a</w:t>
      </w:r>
      <w:r w:rsidR="00C75FC3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3816CE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new semester.</w:t>
      </w:r>
    </w:p>
    <w:p w14:paraId="701C1FCA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03CB916" w14:textId="249548DA" w:rsidR="006902F4" w:rsidRDefault="00262C9E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Matters concerning employment term, suspension</w:t>
      </w:r>
      <w:r w:rsidR="008B1660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, dismissal and non-renewal shall be handled according to the relevant regulations of NSYSU.</w:t>
      </w:r>
    </w:p>
    <w:p w14:paraId="0E188E18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BC29A26" w14:textId="33A07E65" w:rsidR="006902F4" w:rsidRDefault="003A4F0D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Matters not stated in the Directions shall be handled according to </w:t>
      </w:r>
      <w:r w:rsidR="00830F8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statutory requirements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and </w:t>
      </w:r>
      <w:r w:rsidR="00830F8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relevant 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rules of NSYSU.</w:t>
      </w:r>
    </w:p>
    <w:p w14:paraId="2F1DB352" w14:textId="77777777" w:rsidR="006902F4" w:rsidRDefault="006902F4" w:rsidP="006902F4">
      <w:pPr>
        <w:pStyle w:val="a"/>
        <w:widowControl w:val="0"/>
        <w:numPr>
          <w:ilvl w:val="0"/>
          <w:numId w:val="0"/>
        </w:numPr>
        <w:adjustRightInd w:val="0"/>
        <w:snapToGrid w:val="0"/>
        <w:spacing w:beforeLines="50" w:before="180" w:afterLines="50" w:after="180" w:line="0" w:lineRule="atLeast"/>
        <w:ind w:left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14:paraId="3A571A24" w14:textId="2FE33DB2" w:rsidR="00107E81" w:rsidRPr="006902F4" w:rsidRDefault="00107E81" w:rsidP="006902F4">
      <w:pPr>
        <w:pStyle w:val="a"/>
        <w:widowControl w:val="0"/>
        <w:numPr>
          <w:ilvl w:val="0"/>
          <w:numId w:val="10"/>
        </w:numPr>
        <w:adjustRightInd w:val="0"/>
        <w:snapToGrid w:val="0"/>
        <w:spacing w:beforeLines="50" w:before="180" w:afterLines="50" w:after="180" w:line="0" w:lineRule="atLeast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The Directions </w:t>
      </w:r>
      <w:r w:rsidR="00996F52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become effective after being 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approved by</w:t>
      </w:r>
      <w:r w:rsidR="00FD228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996F52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FD2289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College Affairs Meeting</w:t>
      </w:r>
      <w:r w:rsidR="00996F5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and</w:t>
      </w:r>
      <w:r w:rsidR="00996F52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A6357F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submitted to </w:t>
      </w:r>
      <w:r w:rsidR="00996F52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the </w:t>
      </w:r>
      <w:r w:rsidR="00C96BF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University Faculty Evaluation Committee</w:t>
      </w:r>
      <w:r w:rsidR="00A6357F" w:rsidRPr="006902F4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 xml:space="preserve"> for future reference</w:t>
      </w:r>
      <w:r w:rsidR="00C96BF2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.</w:t>
      </w:r>
      <w:r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 xml:space="preserve"> </w:t>
      </w:r>
      <w:r w:rsidR="007A5C47" w:rsidRPr="006902F4"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  <w:t>Amendments to the Directions shall follow the same procedure.</w:t>
      </w:r>
    </w:p>
    <w:p w14:paraId="5508FBDF" w14:textId="77777777" w:rsidR="00334973" w:rsidRPr="00CF15D0" w:rsidRDefault="00334973" w:rsidP="00671272">
      <w:pPr>
        <w:widowControl w:val="0"/>
        <w:spacing w:after="0"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bookmarkStart w:id="5" w:name="_GoBack"/>
      <w:bookmarkEnd w:id="5"/>
    </w:p>
    <w:sectPr w:rsidR="00334973" w:rsidRPr="00CF15D0" w:rsidSect="00CF1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2D8B" w14:textId="77777777" w:rsidR="001D4AFC" w:rsidRDefault="001D4AFC" w:rsidP="00FF72A8">
      <w:pPr>
        <w:spacing w:after="0" w:line="240" w:lineRule="auto"/>
      </w:pPr>
      <w:r>
        <w:separator/>
      </w:r>
    </w:p>
  </w:endnote>
  <w:endnote w:type="continuationSeparator" w:id="0">
    <w:p w14:paraId="42F81AE0" w14:textId="77777777" w:rsidR="001D4AFC" w:rsidRDefault="001D4AFC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FB2B" w14:textId="77777777" w:rsidR="001D4AFC" w:rsidRDefault="001D4AFC" w:rsidP="00FF72A8">
      <w:pPr>
        <w:spacing w:after="0" w:line="240" w:lineRule="auto"/>
      </w:pPr>
      <w:r>
        <w:separator/>
      </w:r>
    </w:p>
  </w:footnote>
  <w:footnote w:type="continuationSeparator" w:id="0">
    <w:p w14:paraId="75B3EC92" w14:textId="77777777" w:rsidR="001D4AFC" w:rsidRDefault="001D4AFC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37F"/>
    <w:multiLevelType w:val="hybridMultilevel"/>
    <w:tmpl w:val="76B203A4"/>
    <w:lvl w:ilvl="0" w:tplc="1CF6653E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CA6718"/>
    <w:multiLevelType w:val="hybridMultilevel"/>
    <w:tmpl w:val="C4F220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B2EE8"/>
    <w:multiLevelType w:val="hybridMultilevel"/>
    <w:tmpl w:val="45681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097AF7"/>
    <w:multiLevelType w:val="hybridMultilevel"/>
    <w:tmpl w:val="46744814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E343D"/>
    <w:multiLevelType w:val="hybridMultilevel"/>
    <w:tmpl w:val="9162BFF0"/>
    <w:lvl w:ilvl="0" w:tplc="04090015">
      <w:start w:val="1"/>
      <w:numFmt w:val="taiwaneseCountingThousand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" w15:restartNumberingAfterBreak="0">
    <w:nsid w:val="5A5241E6"/>
    <w:multiLevelType w:val="hybridMultilevel"/>
    <w:tmpl w:val="18B8BB6E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65D7B"/>
    <w:multiLevelType w:val="hybridMultilevel"/>
    <w:tmpl w:val="62969E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964F0C"/>
    <w:multiLevelType w:val="hybridMultilevel"/>
    <w:tmpl w:val="EC12067C"/>
    <w:lvl w:ilvl="0" w:tplc="849CF4B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020D9"/>
    <w:rsid w:val="000300E5"/>
    <w:rsid w:val="0004455B"/>
    <w:rsid w:val="00050309"/>
    <w:rsid w:val="000542AD"/>
    <w:rsid w:val="00063B26"/>
    <w:rsid w:val="00072F7C"/>
    <w:rsid w:val="000761DC"/>
    <w:rsid w:val="00086BA1"/>
    <w:rsid w:val="000943A7"/>
    <w:rsid w:val="000C6553"/>
    <w:rsid w:val="000D2B48"/>
    <w:rsid w:val="000D3EEE"/>
    <w:rsid w:val="000F2D67"/>
    <w:rsid w:val="000F345A"/>
    <w:rsid w:val="001000F3"/>
    <w:rsid w:val="001006BF"/>
    <w:rsid w:val="0010253C"/>
    <w:rsid w:val="00107E81"/>
    <w:rsid w:val="00112575"/>
    <w:rsid w:val="00113963"/>
    <w:rsid w:val="001218D8"/>
    <w:rsid w:val="0012211F"/>
    <w:rsid w:val="00122BB6"/>
    <w:rsid w:val="00130F90"/>
    <w:rsid w:val="00134195"/>
    <w:rsid w:val="0014260D"/>
    <w:rsid w:val="00163AA8"/>
    <w:rsid w:val="00167A7A"/>
    <w:rsid w:val="001B3930"/>
    <w:rsid w:val="001D4AFC"/>
    <w:rsid w:val="001F1262"/>
    <w:rsid w:val="00225CCD"/>
    <w:rsid w:val="00230BD9"/>
    <w:rsid w:val="00232696"/>
    <w:rsid w:val="00237175"/>
    <w:rsid w:val="00253EB7"/>
    <w:rsid w:val="00262C9E"/>
    <w:rsid w:val="00266ED7"/>
    <w:rsid w:val="002745A7"/>
    <w:rsid w:val="00281A62"/>
    <w:rsid w:val="00281D5E"/>
    <w:rsid w:val="00290859"/>
    <w:rsid w:val="00293BE3"/>
    <w:rsid w:val="002B478E"/>
    <w:rsid w:val="002C5DE5"/>
    <w:rsid w:val="002C6EF9"/>
    <w:rsid w:val="002D1E91"/>
    <w:rsid w:val="002F4332"/>
    <w:rsid w:val="0030035E"/>
    <w:rsid w:val="0032702B"/>
    <w:rsid w:val="00334973"/>
    <w:rsid w:val="00336769"/>
    <w:rsid w:val="00337F67"/>
    <w:rsid w:val="0035198A"/>
    <w:rsid w:val="003659FE"/>
    <w:rsid w:val="0036743A"/>
    <w:rsid w:val="00371B2E"/>
    <w:rsid w:val="0037580B"/>
    <w:rsid w:val="003816CE"/>
    <w:rsid w:val="00393E2F"/>
    <w:rsid w:val="00394B57"/>
    <w:rsid w:val="003959A8"/>
    <w:rsid w:val="003A4CB7"/>
    <w:rsid w:val="003A4F0D"/>
    <w:rsid w:val="003A5BA2"/>
    <w:rsid w:val="003B5916"/>
    <w:rsid w:val="003B65F7"/>
    <w:rsid w:val="003C42EC"/>
    <w:rsid w:val="003D029F"/>
    <w:rsid w:val="003F1164"/>
    <w:rsid w:val="003F30AF"/>
    <w:rsid w:val="0041511F"/>
    <w:rsid w:val="00435944"/>
    <w:rsid w:val="00452ADA"/>
    <w:rsid w:val="00455080"/>
    <w:rsid w:val="00455491"/>
    <w:rsid w:val="00456B3C"/>
    <w:rsid w:val="00460B0A"/>
    <w:rsid w:val="00472EE3"/>
    <w:rsid w:val="004A422A"/>
    <w:rsid w:val="004A70EA"/>
    <w:rsid w:val="004B16B7"/>
    <w:rsid w:val="004B3F38"/>
    <w:rsid w:val="004C1F31"/>
    <w:rsid w:val="004C7622"/>
    <w:rsid w:val="004D46D6"/>
    <w:rsid w:val="004F2AA8"/>
    <w:rsid w:val="004F42C4"/>
    <w:rsid w:val="00506550"/>
    <w:rsid w:val="00510F69"/>
    <w:rsid w:val="00513A39"/>
    <w:rsid w:val="00520B33"/>
    <w:rsid w:val="00522470"/>
    <w:rsid w:val="00566B0C"/>
    <w:rsid w:val="00576E5C"/>
    <w:rsid w:val="0058029D"/>
    <w:rsid w:val="00587BFC"/>
    <w:rsid w:val="0059615D"/>
    <w:rsid w:val="00596AB5"/>
    <w:rsid w:val="005B3530"/>
    <w:rsid w:val="005C0C71"/>
    <w:rsid w:val="005E4E1A"/>
    <w:rsid w:val="005F2194"/>
    <w:rsid w:val="005F3D6C"/>
    <w:rsid w:val="00600B08"/>
    <w:rsid w:val="00605196"/>
    <w:rsid w:val="00605DCA"/>
    <w:rsid w:val="00624E47"/>
    <w:rsid w:val="00627A3D"/>
    <w:rsid w:val="00630CA1"/>
    <w:rsid w:val="00655C29"/>
    <w:rsid w:val="00671272"/>
    <w:rsid w:val="00681225"/>
    <w:rsid w:val="0068325A"/>
    <w:rsid w:val="006844F6"/>
    <w:rsid w:val="006854ED"/>
    <w:rsid w:val="006902F4"/>
    <w:rsid w:val="006A564D"/>
    <w:rsid w:val="006A6F10"/>
    <w:rsid w:val="006A712B"/>
    <w:rsid w:val="006A7BC0"/>
    <w:rsid w:val="006B3C57"/>
    <w:rsid w:val="006B49C7"/>
    <w:rsid w:val="006B6515"/>
    <w:rsid w:val="006D5693"/>
    <w:rsid w:val="006D5E9A"/>
    <w:rsid w:val="006E5751"/>
    <w:rsid w:val="006F0441"/>
    <w:rsid w:val="006F0D4C"/>
    <w:rsid w:val="006F4D89"/>
    <w:rsid w:val="006F66CA"/>
    <w:rsid w:val="006F73A2"/>
    <w:rsid w:val="00710E37"/>
    <w:rsid w:val="00721262"/>
    <w:rsid w:val="00724CA4"/>
    <w:rsid w:val="0075636A"/>
    <w:rsid w:val="00772D62"/>
    <w:rsid w:val="007965ED"/>
    <w:rsid w:val="007A5C47"/>
    <w:rsid w:val="007B16D8"/>
    <w:rsid w:val="007B39BD"/>
    <w:rsid w:val="007C6381"/>
    <w:rsid w:val="007D73B4"/>
    <w:rsid w:val="007E46DD"/>
    <w:rsid w:val="007F7878"/>
    <w:rsid w:val="00805D9D"/>
    <w:rsid w:val="00830638"/>
    <w:rsid w:val="00830F82"/>
    <w:rsid w:val="008337CE"/>
    <w:rsid w:val="00833DE2"/>
    <w:rsid w:val="00862C9B"/>
    <w:rsid w:val="008A38A6"/>
    <w:rsid w:val="008B1660"/>
    <w:rsid w:val="008C7EE5"/>
    <w:rsid w:val="008F3275"/>
    <w:rsid w:val="008F5462"/>
    <w:rsid w:val="00901F97"/>
    <w:rsid w:val="009212D6"/>
    <w:rsid w:val="0092178F"/>
    <w:rsid w:val="00936A37"/>
    <w:rsid w:val="009476E9"/>
    <w:rsid w:val="009504CC"/>
    <w:rsid w:val="009511B9"/>
    <w:rsid w:val="00994659"/>
    <w:rsid w:val="00996F52"/>
    <w:rsid w:val="00997CD9"/>
    <w:rsid w:val="009A6DE2"/>
    <w:rsid w:val="009B3416"/>
    <w:rsid w:val="009D2990"/>
    <w:rsid w:val="009E07E5"/>
    <w:rsid w:val="009E0B72"/>
    <w:rsid w:val="009F524A"/>
    <w:rsid w:val="009F6D9F"/>
    <w:rsid w:val="00A052E9"/>
    <w:rsid w:val="00A20326"/>
    <w:rsid w:val="00A30EE8"/>
    <w:rsid w:val="00A41CE9"/>
    <w:rsid w:val="00A44158"/>
    <w:rsid w:val="00A44B63"/>
    <w:rsid w:val="00A44E59"/>
    <w:rsid w:val="00A4754B"/>
    <w:rsid w:val="00A50EF8"/>
    <w:rsid w:val="00A6357F"/>
    <w:rsid w:val="00A72CB6"/>
    <w:rsid w:val="00A76618"/>
    <w:rsid w:val="00A77B18"/>
    <w:rsid w:val="00A902BE"/>
    <w:rsid w:val="00AA3E60"/>
    <w:rsid w:val="00AD1AFA"/>
    <w:rsid w:val="00AD652B"/>
    <w:rsid w:val="00AD7DE7"/>
    <w:rsid w:val="00AE051F"/>
    <w:rsid w:val="00AE1EFC"/>
    <w:rsid w:val="00AE3F21"/>
    <w:rsid w:val="00B42B88"/>
    <w:rsid w:val="00B57583"/>
    <w:rsid w:val="00BA36E0"/>
    <w:rsid w:val="00BC26AF"/>
    <w:rsid w:val="00BD1319"/>
    <w:rsid w:val="00BD1FAC"/>
    <w:rsid w:val="00BD63C9"/>
    <w:rsid w:val="00C1289C"/>
    <w:rsid w:val="00C20DA2"/>
    <w:rsid w:val="00C6121F"/>
    <w:rsid w:val="00C63F4E"/>
    <w:rsid w:val="00C70C0C"/>
    <w:rsid w:val="00C75FC3"/>
    <w:rsid w:val="00C8199E"/>
    <w:rsid w:val="00C854CD"/>
    <w:rsid w:val="00C96BF2"/>
    <w:rsid w:val="00CB2EE8"/>
    <w:rsid w:val="00CC0963"/>
    <w:rsid w:val="00CF15D0"/>
    <w:rsid w:val="00CF3469"/>
    <w:rsid w:val="00CF5038"/>
    <w:rsid w:val="00D042E8"/>
    <w:rsid w:val="00D13431"/>
    <w:rsid w:val="00D2063F"/>
    <w:rsid w:val="00D24032"/>
    <w:rsid w:val="00D30E0D"/>
    <w:rsid w:val="00D5172C"/>
    <w:rsid w:val="00DA312A"/>
    <w:rsid w:val="00DB2BC4"/>
    <w:rsid w:val="00DB5A76"/>
    <w:rsid w:val="00DC66B2"/>
    <w:rsid w:val="00DD25B9"/>
    <w:rsid w:val="00DE31E0"/>
    <w:rsid w:val="00DE41A3"/>
    <w:rsid w:val="00DE667F"/>
    <w:rsid w:val="00E00860"/>
    <w:rsid w:val="00E02BEC"/>
    <w:rsid w:val="00E216AC"/>
    <w:rsid w:val="00E22395"/>
    <w:rsid w:val="00E4490F"/>
    <w:rsid w:val="00E5569B"/>
    <w:rsid w:val="00E602F7"/>
    <w:rsid w:val="00E75780"/>
    <w:rsid w:val="00EA603D"/>
    <w:rsid w:val="00EB202F"/>
    <w:rsid w:val="00EB4B73"/>
    <w:rsid w:val="00EB6B2E"/>
    <w:rsid w:val="00EB6D35"/>
    <w:rsid w:val="00EB727B"/>
    <w:rsid w:val="00EC1400"/>
    <w:rsid w:val="00ED026D"/>
    <w:rsid w:val="00ED6BB6"/>
    <w:rsid w:val="00EE292B"/>
    <w:rsid w:val="00EF7A2A"/>
    <w:rsid w:val="00F02A5E"/>
    <w:rsid w:val="00F24AD4"/>
    <w:rsid w:val="00F37482"/>
    <w:rsid w:val="00F95EB2"/>
    <w:rsid w:val="00FC6296"/>
    <w:rsid w:val="00FD2289"/>
    <w:rsid w:val="00FD5589"/>
    <w:rsid w:val="00FE590A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7B84"/>
  <w15:docId w15:val="{F66048D8-31BC-45F3-A25A-18523CB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2017-02-08T06:53:00Z</cp:lastPrinted>
  <dcterms:created xsi:type="dcterms:W3CDTF">2020-12-17T14:42:00Z</dcterms:created>
  <dcterms:modified xsi:type="dcterms:W3CDTF">2021-03-10T07:33:00Z</dcterms:modified>
</cp:coreProperties>
</file>