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9C" w:rsidRPr="0010639C" w:rsidRDefault="0010639C" w:rsidP="0010639C">
      <w:pPr>
        <w:snapToGrid w:val="0"/>
        <w:spacing w:beforeLines="50" w:before="180"/>
        <w:jc w:val="center"/>
        <w:rPr>
          <w:rFonts w:asciiTheme="minorHAnsi" w:eastAsia="標楷體" w:hAnsiTheme="minorHAnsi"/>
          <w:b/>
          <w:sz w:val="32"/>
          <w:szCs w:val="32"/>
        </w:rPr>
      </w:pPr>
      <w:r w:rsidRPr="0010639C">
        <w:rPr>
          <w:rFonts w:asciiTheme="minorHAnsi" w:eastAsia="標楷體" w:hAnsiTheme="minorHAnsi"/>
          <w:b/>
          <w:sz w:val="32"/>
          <w:szCs w:val="32"/>
        </w:rPr>
        <w:t xml:space="preserve">Guidelines of Wah Lee Scholarship for Students of College of Engineering, National Sun </w:t>
      </w:r>
      <w:proofErr w:type="spellStart"/>
      <w:r w:rsidRPr="0010639C">
        <w:rPr>
          <w:rFonts w:asciiTheme="minorHAnsi" w:eastAsia="標楷體" w:hAnsiTheme="minorHAnsi"/>
          <w:b/>
          <w:sz w:val="32"/>
          <w:szCs w:val="32"/>
        </w:rPr>
        <w:t>Yat</w:t>
      </w:r>
      <w:proofErr w:type="spellEnd"/>
      <w:r w:rsidRPr="0010639C">
        <w:rPr>
          <w:rFonts w:asciiTheme="minorHAnsi" w:eastAsia="標楷體" w:hAnsiTheme="minorHAnsi"/>
          <w:b/>
          <w:sz w:val="32"/>
          <w:szCs w:val="32"/>
        </w:rPr>
        <w:t>-Sen University</w:t>
      </w:r>
    </w:p>
    <w:p w:rsidR="0010639C" w:rsidRPr="0010639C" w:rsidRDefault="0010639C" w:rsidP="0010639C">
      <w:pPr>
        <w:snapToGrid w:val="0"/>
        <w:spacing w:beforeLines="50" w:before="180"/>
        <w:jc w:val="center"/>
        <w:rPr>
          <w:rFonts w:asciiTheme="minorHAnsi" w:eastAsia="標楷體" w:hAnsiTheme="minorHAnsi"/>
          <w:b/>
        </w:rPr>
      </w:pPr>
    </w:p>
    <w:p w:rsidR="0010639C" w:rsidRPr="0010639C" w:rsidRDefault="0010639C" w:rsidP="0010639C">
      <w:pPr>
        <w:pStyle w:val="Web"/>
        <w:spacing w:before="0" w:beforeAutospacing="0" w:after="0" w:afterAutospacing="0"/>
        <w:jc w:val="right"/>
        <w:rPr>
          <w:rFonts w:asciiTheme="minorHAnsi" w:hAnsiTheme="minorHAnsi"/>
          <w:sz w:val="20"/>
          <w:szCs w:val="20"/>
        </w:rPr>
      </w:pPr>
      <w:proofErr w:type="gramStart"/>
      <w:r w:rsidRPr="0010639C">
        <w:rPr>
          <w:rFonts w:asciiTheme="minorHAnsi" w:hAnsiTheme="minorHAnsi"/>
          <w:sz w:val="20"/>
          <w:szCs w:val="20"/>
        </w:rPr>
        <w:t>Stipulated on April 22, 2016 in the college’s 8th Chairs Meeting for the 2015 academic year.</w:t>
      </w:r>
      <w:proofErr w:type="gramEnd"/>
      <w:r w:rsidRPr="0010639C">
        <w:rPr>
          <w:rFonts w:asciiTheme="minorHAnsi" w:hAnsiTheme="minorHAnsi"/>
          <w:sz w:val="20"/>
          <w:szCs w:val="20"/>
        </w:rPr>
        <w:t xml:space="preserve"> </w:t>
      </w:r>
    </w:p>
    <w:p w:rsidR="0010639C" w:rsidRPr="0010639C" w:rsidRDefault="0010639C" w:rsidP="0010639C">
      <w:pPr>
        <w:pStyle w:val="Web"/>
        <w:spacing w:before="0" w:beforeAutospacing="0" w:after="0" w:afterAutospacing="0"/>
        <w:jc w:val="right"/>
        <w:rPr>
          <w:rFonts w:asciiTheme="minorHAnsi" w:hAnsiTheme="minorHAnsi"/>
          <w:sz w:val="20"/>
          <w:szCs w:val="20"/>
        </w:rPr>
      </w:pPr>
      <w:proofErr w:type="gramStart"/>
      <w:r w:rsidRPr="0010639C">
        <w:rPr>
          <w:rFonts w:asciiTheme="minorHAnsi" w:hAnsiTheme="minorHAnsi"/>
          <w:sz w:val="20"/>
          <w:szCs w:val="20"/>
        </w:rPr>
        <w:t>Amended on June 7, 2018 in the college’s 10th Chairs Meeting for the 2017 academic year.</w:t>
      </w:r>
      <w:proofErr w:type="gramEnd"/>
      <w:r w:rsidRPr="0010639C">
        <w:rPr>
          <w:rFonts w:asciiTheme="minorHAnsi" w:hAnsiTheme="minorHAnsi"/>
          <w:sz w:val="20"/>
          <w:szCs w:val="20"/>
        </w:rPr>
        <w:t xml:space="preserve"> </w:t>
      </w:r>
    </w:p>
    <w:p w:rsidR="0010639C" w:rsidRPr="0010639C" w:rsidRDefault="0010639C" w:rsidP="0010639C">
      <w:pPr>
        <w:snapToGrid w:val="0"/>
        <w:spacing w:line="400" w:lineRule="exact"/>
        <w:jc w:val="right"/>
        <w:rPr>
          <w:rFonts w:asciiTheme="minorHAnsi" w:eastAsia="標楷體" w:hAnsiTheme="minorHAnsi"/>
          <w:b/>
        </w:rPr>
      </w:pPr>
    </w:p>
    <w:p w:rsidR="0010639C" w:rsidRPr="0010639C" w:rsidRDefault="0010639C" w:rsidP="0010639C">
      <w:pPr>
        <w:pStyle w:val="a8"/>
        <w:numPr>
          <w:ilvl w:val="0"/>
          <w:numId w:val="3"/>
        </w:numPr>
        <w:tabs>
          <w:tab w:val="left" w:pos="1080"/>
        </w:tabs>
        <w:snapToGrid w:val="0"/>
        <w:spacing w:line="400" w:lineRule="exact"/>
        <w:ind w:leftChars="0"/>
        <w:jc w:val="both"/>
        <w:rPr>
          <w:rFonts w:asciiTheme="minorHAnsi" w:eastAsia="標楷體" w:hAnsiTheme="minorHAnsi"/>
          <w:b/>
        </w:rPr>
      </w:pPr>
      <w:r w:rsidRPr="0010639C">
        <w:rPr>
          <w:rFonts w:asciiTheme="minorHAnsi" w:eastAsia="標楷體" w:hAnsiTheme="minorHAnsi"/>
          <w:b/>
        </w:rPr>
        <w:t>Purpose of the Scholarship:</w:t>
      </w:r>
    </w:p>
    <w:p w:rsidR="0010639C" w:rsidRPr="0010639C" w:rsidRDefault="0010639C" w:rsidP="0010639C">
      <w:pPr>
        <w:snapToGrid w:val="0"/>
        <w:spacing w:line="400" w:lineRule="exact"/>
        <w:rPr>
          <w:rFonts w:asciiTheme="minorHAnsi" w:eastAsia="標楷體" w:hAnsiTheme="minorHAnsi" w:cs="新細明體"/>
          <w:kern w:val="0"/>
        </w:rPr>
      </w:pPr>
      <w:r w:rsidRPr="0010639C">
        <w:rPr>
          <w:rFonts w:asciiTheme="minorHAnsi" w:eastAsia="SimSun" w:hAnsiTheme="minorHAnsi"/>
          <w:lang w:eastAsia="zh-CN"/>
        </w:rPr>
        <w:t xml:space="preserve">The Wah Lee Industrial Corp. has established the “Wah Lee Scholarship for Students of College of Engineering, National Sun </w:t>
      </w:r>
      <w:proofErr w:type="spellStart"/>
      <w:r w:rsidRPr="0010639C">
        <w:rPr>
          <w:rFonts w:asciiTheme="minorHAnsi" w:eastAsia="SimSun" w:hAnsiTheme="minorHAnsi"/>
          <w:lang w:eastAsia="zh-CN"/>
        </w:rPr>
        <w:t>Yat</w:t>
      </w:r>
      <w:proofErr w:type="spellEnd"/>
      <w:r w:rsidRPr="0010639C">
        <w:rPr>
          <w:rFonts w:asciiTheme="minorHAnsi" w:eastAsia="SimSun" w:hAnsiTheme="minorHAnsi"/>
          <w:lang w:eastAsia="zh-CN"/>
        </w:rPr>
        <w:t xml:space="preserve">-Sen University” with the goal of </w:t>
      </w:r>
      <w:r w:rsidRPr="0010639C">
        <w:rPr>
          <w:rFonts w:asciiTheme="minorHAnsi" w:eastAsia="標楷體" w:hAnsiTheme="minorHAnsi"/>
        </w:rPr>
        <w:t>fulfill</w:t>
      </w:r>
      <w:r w:rsidRPr="0010639C">
        <w:rPr>
          <w:rFonts w:asciiTheme="minorHAnsi" w:eastAsia="SimSun" w:hAnsiTheme="minorHAnsi"/>
          <w:lang w:eastAsia="zh-CN"/>
        </w:rPr>
        <w:t>ing</w:t>
      </w:r>
      <w:r w:rsidRPr="0010639C">
        <w:rPr>
          <w:rFonts w:asciiTheme="minorHAnsi" w:eastAsia="標楷體" w:hAnsiTheme="minorHAnsi"/>
        </w:rPr>
        <w:t xml:space="preserve"> corporate social responsibility</w:t>
      </w:r>
      <w:r w:rsidRPr="0010639C">
        <w:rPr>
          <w:rFonts w:asciiTheme="minorHAnsi" w:eastAsia="SimSun" w:hAnsiTheme="minorHAnsi"/>
          <w:lang w:eastAsia="zh-CN"/>
        </w:rPr>
        <w:t>,</w:t>
      </w:r>
      <w:r w:rsidRPr="0010639C">
        <w:rPr>
          <w:rFonts w:asciiTheme="minorHAnsi" w:eastAsia="標楷體" w:hAnsiTheme="minorHAnsi"/>
        </w:rPr>
        <w:t xml:space="preserve"> cultivat</w:t>
      </w:r>
      <w:r w:rsidRPr="0010639C">
        <w:rPr>
          <w:rFonts w:asciiTheme="minorHAnsi" w:eastAsia="SimSun" w:hAnsiTheme="minorHAnsi"/>
          <w:lang w:eastAsia="zh-CN"/>
        </w:rPr>
        <w:t>ing</w:t>
      </w:r>
      <w:r w:rsidRPr="0010639C">
        <w:rPr>
          <w:rFonts w:asciiTheme="minorHAnsi" w:eastAsia="標楷體" w:hAnsiTheme="minorHAnsi"/>
        </w:rPr>
        <w:t xml:space="preserve"> high-level engineering </w:t>
      </w:r>
      <w:r w:rsidRPr="0010639C">
        <w:rPr>
          <w:rFonts w:asciiTheme="minorHAnsi" w:eastAsia="SimSun" w:hAnsiTheme="minorHAnsi"/>
          <w:lang w:eastAsia="zh-CN"/>
        </w:rPr>
        <w:t xml:space="preserve">talents, and rewarding outstanding students. </w:t>
      </w:r>
    </w:p>
    <w:p w:rsidR="0010639C" w:rsidRDefault="0010639C" w:rsidP="0010639C">
      <w:pPr>
        <w:pStyle w:val="Web"/>
        <w:spacing w:before="0" w:beforeAutospacing="0" w:after="0" w:afterAutospacing="0" w:line="400" w:lineRule="exact"/>
        <w:rPr>
          <w:rFonts w:asciiTheme="minorHAnsi" w:hAnsiTheme="minorHAnsi" w:hint="eastAsia"/>
        </w:rPr>
      </w:pPr>
    </w:p>
    <w:p w:rsidR="0010639C" w:rsidRPr="0010639C" w:rsidRDefault="0010639C" w:rsidP="0010639C">
      <w:pPr>
        <w:pStyle w:val="Web"/>
        <w:spacing w:before="0" w:beforeAutospacing="0" w:after="0" w:afterAutospacing="0" w:line="400" w:lineRule="exact"/>
        <w:rPr>
          <w:rFonts w:asciiTheme="minorHAnsi" w:hAnsiTheme="minorHAnsi"/>
          <w:b/>
        </w:rPr>
      </w:pPr>
      <w:r w:rsidRPr="0010639C">
        <w:rPr>
          <w:rFonts w:asciiTheme="minorHAnsi" w:hAnsiTheme="minorHAnsi"/>
          <w:b/>
        </w:rPr>
        <w:t>2.</w:t>
      </w:r>
      <w:r w:rsidRPr="0010639C">
        <w:rPr>
          <w:rFonts w:asciiTheme="minorHAnsi" w:hAnsiTheme="minorHAnsi" w:hint="eastAsia"/>
          <w:b/>
        </w:rPr>
        <w:t xml:space="preserve"> </w:t>
      </w:r>
      <w:r w:rsidRPr="0010639C">
        <w:rPr>
          <w:rFonts w:asciiTheme="minorHAnsi" w:hAnsiTheme="minorHAnsi"/>
          <w:b/>
        </w:rPr>
        <w:t xml:space="preserve">Applicant Eligibility: </w:t>
      </w:r>
    </w:p>
    <w:p w:rsidR="0010639C" w:rsidRDefault="0010639C" w:rsidP="0010639C">
      <w:pPr>
        <w:pStyle w:val="Web"/>
        <w:numPr>
          <w:ilvl w:val="0"/>
          <w:numId w:val="4"/>
        </w:numPr>
        <w:spacing w:before="0" w:beforeAutospacing="0" w:after="0" w:afterAutospacing="0" w:line="400" w:lineRule="exact"/>
        <w:rPr>
          <w:rFonts w:asciiTheme="minorHAnsi" w:hAnsiTheme="minorHAnsi" w:hint="eastAsia"/>
        </w:rPr>
      </w:pPr>
      <w:r w:rsidRPr="0010639C">
        <w:rPr>
          <w:rFonts w:asciiTheme="minorHAnsi" w:hAnsiTheme="minorHAnsi"/>
        </w:rPr>
        <w:t xml:space="preserve">Full-time Ph.D. student at the College of Engineering (hereinafter referred to as “the College”) of the University </w:t>
      </w:r>
    </w:p>
    <w:p w:rsidR="0010639C" w:rsidRDefault="0010639C" w:rsidP="0010639C">
      <w:pPr>
        <w:pStyle w:val="Web"/>
        <w:numPr>
          <w:ilvl w:val="0"/>
          <w:numId w:val="4"/>
        </w:numPr>
        <w:spacing w:before="0" w:beforeAutospacing="0" w:after="0" w:afterAutospacing="0" w:line="400" w:lineRule="exact"/>
        <w:rPr>
          <w:rFonts w:asciiTheme="minorHAnsi" w:hAnsiTheme="minorHAnsi" w:hint="eastAsia"/>
        </w:rPr>
      </w:pPr>
      <w:r w:rsidRPr="0010639C">
        <w:rPr>
          <w:rFonts w:asciiTheme="minorHAnsi" w:hAnsiTheme="minorHAnsi"/>
        </w:rPr>
        <w:t xml:space="preserve">Achieved an academic score of </w:t>
      </w:r>
      <w:r w:rsidRPr="0010639C">
        <w:rPr>
          <w:rFonts w:asciiTheme="minorHAnsi" w:hAnsiTheme="minorHAnsi" w:cs="Times New Roman"/>
        </w:rPr>
        <w:t>≥</w:t>
      </w:r>
      <w:r w:rsidRPr="0010639C">
        <w:rPr>
          <w:rFonts w:asciiTheme="minorHAnsi" w:hAnsiTheme="minorHAnsi"/>
        </w:rPr>
        <w:t xml:space="preserve">80 (or an equivalent grade) for each subject in the preceding semester </w:t>
      </w:r>
    </w:p>
    <w:p w:rsidR="0010639C" w:rsidRDefault="0010639C" w:rsidP="0010639C">
      <w:pPr>
        <w:pStyle w:val="Web"/>
        <w:numPr>
          <w:ilvl w:val="0"/>
          <w:numId w:val="4"/>
        </w:numPr>
        <w:spacing w:before="0" w:beforeAutospacing="0" w:after="0" w:afterAutospacing="0" w:line="400" w:lineRule="exact"/>
        <w:rPr>
          <w:rFonts w:asciiTheme="minorHAnsi" w:hAnsiTheme="minorHAnsi" w:hint="eastAsia"/>
        </w:rPr>
      </w:pPr>
      <w:r w:rsidRPr="0010639C">
        <w:rPr>
          <w:rFonts w:asciiTheme="minorHAnsi" w:hAnsiTheme="minorHAnsi"/>
        </w:rPr>
        <w:t xml:space="preserve">Received no other scholarships in the year prior to the application date of the scholarship (except those who have received the Elite Ph.D. bursaries and scholarships or scholarships with labor obligations) </w:t>
      </w:r>
    </w:p>
    <w:p w:rsidR="0010639C" w:rsidRDefault="0010639C" w:rsidP="0010639C">
      <w:pPr>
        <w:pStyle w:val="Web"/>
        <w:numPr>
          <w:ilvl w:val="0"/>
          <w:numId w:val="4"/>
        </w:numPr>
        <w:spacing w:before="0" w:beforeAutospacing="0" w:after="0" w:afterAutospacing="0" w:line="400" w:lineRule="exact"/>
        <w:rPr>
          <w:rFonts w:asciiTheme="minorHAnsi" w:hAnsiTheme="minorHAnsi" w:hint="eastAsia"/>
        </w:rPr>
      </w:pPr>
      <w:r w:rsidRPr="0010639C">
        <w:rPr>
          <w:rFonts w:asciiTheme="minorHAnsi" w:hAnsiTheme="minorHAnsi"/>
        </w:rPr>
        <w:t>Researching in the following areas:</w:t>
      </w:r>
    </w:p>
    <w:p w:rsidR="0010639C" w:rsidRDefault="0010639C" w:rsidP="0010639C">
      <w:pPr>
        <w:pStyle w:val="Web"/>
        <w:numPr>
          <w:ilvl w:val="0"/>
          <w:numId w:val="5"/>
        </w:numPr>
        <w:spacing w:before="0" w:beforeAutospacing="0" w:after="0" w:afterAutospacing="0" w:line="400" w:lineRule="exact"/>
        <w:rPr>
          <w:rFonts w:asciiTheme="minorHAnsi" w:hAnsiTheme="minorHAnsi" w:hint="eastAsia"/>
        </w:rPr>
      </w:pPr>
      <w:r w:rsidRPr="0010639C">
        <w:rPr>
          <w:rFonts w:asciiTheme="minorHAnsi" w:hAnsiTheme="minorHAnsi"/>
        </w:rPr>
        <w:t xml:space="preserve">Energy and energy storage materials: high-performance lithium-ion batteries (positive and negative electrode materials, separators), fuel cells, super capacitors, and other energy-storage materials </w:t>
      </w:r>
    </w:p>
    <w:p w:rsidR="0010639C" w:rsidRDefault="0010639C" w:rsidP="0010639C">
      <w:pPr>
        <w:pStyle w:val="Web"/>
        <w:numPr>
          <w:ilvl w:val="0"/>
          <w:numId w:val="5"/>
        </w:numPr>
        <w:spacing w:before="0" w:beforeAutospacing="0" w:after="0" w:afterAutospacing="0" w:line="400" w:lineRule="exact"/>
        <w:rPr>
          <w:rFonts w:asciiTheme="minorHAnsi" w:hAnsiTheme="minorHAnsi" w:hint="eastAsia"/>
        </w:rPr>
      </w:pPr>
      <w:r w:rsidRPr="0010639C">
        <w:rPr>
          <w:rFonts w:asciiTheme="minorHAnsi" w:hAnsiTheme="minorHAnsi"/>
        </w:rPr>
        <w:t xml:space="preserve">High-frequency communications materials: low </w:t>
      </w:r>
      <w:proofErr w:type="spellStart"/>
      <w:r w:rsidRPr="0010639C">
        <w:rPr>
          <w:rFonts w:asciiTheme="minorHAnsi" w:hAnsiTheme="minorHAnsi"/>
        </w:rPr>
        <w:t>Dk</w:t>
      </w:r>
      <w:proofErr w:type="spellEnd"/>
      <w:r w:rsidRPr="0010639C">
        <w:rPr>
          <w:rFonts w:asciiTheme="minorHAnsi" w:hAnsiTheme="minorHAnsi"/>
        </w:rPr>
        <w:t>/</w:t>
      </w:r>
      <w:proofErr w:type="spellStart"/>
      <w:r w:rsidRPr="0010639C">
        <w:rPr>
          <w:rFonts w:asciiTheme="minorHAnsi" w:hAnsiTheme="minorHAnsi"/>
        </w:rPr>
        <w:t>Df</w:t>
      </w:r>
      <w:proofErr w:type="spellEnd"/>
      <w:r w:rsidRPr="0010639C">
        <w:rPr>
          <w:rFonts w:asciiTheme="minorHAnsi" w:hAnsiTheme="minorHAnsi"/>
        </w:rPr>
        <w:t xml:space="preserve">, high-thermal-conductivity materials </w:t>
      </w:r>
    </w:p>
    <w:p w:rsidR="0010639C" w:rsidRDefault="0010639C" w:rsidP="0010639C">
      <w:pPr>
        <w:pStyle w:val="Web"/>
        <w:numPr>
          <w:ilvl w:val="0"/>
          <w:numId w:val="5"/>
        </w:numPr>
        <w:spacing w:before="0" w:beforeAutospacing="0" w:after="0" w:afterAutospacing="0" w:line="400" w:lineRule="exact"/>
        <w:rPr>
          <w:rFonts w:asciiTheme="minorHAnsi" w:hAnsiTheme="minorHAnsi" w:hint="eastAsia"/>
        </w:rPr>
      </w:pPr>
      <w:r w:rsidRPr="0010639C">
        <w:rPr>
          <w:rFonts w:asciiTheme="minorHAnsi" w:hAnsiTheme="minorHAnsi"/>
        </w:rPr>
        <w:t xml:space="preserve">Optical film materials for display: transparent and flexible substrates, films that can improve optical properties or color saturation, advanced protective films, water-resistant oxygen films </w:t>
      </w:r>
    </w:p>
    <w:p w:rsidR="0010639C" w:rsidRDefault="0010639C" w:rsidP="0010639C">
      <w:pPr>
        <w:pStyle w:val="Web"/>
        <w:numPr>
          <w:ilvl w:val="0"/>
          <w:numId w:val="5"/>
        </w:numPr>
        <w:spacing w:before="0" w:beforeAutospacing="0" w:after="0" w:afterAutospacing="0" w:line="400" w:lineRule="exact"/>
        <w:rPr>
          <w:rFonts w:asciiTheme="minorHAnsi" w:hAnsiTheme="minorHAnsi" w:hint="eastAsia"/>
        </w:rPr>
      </w:pPr>
      <w:r w:rsidRPr="0010639C">
        <w:rPr>
          <w:rFonts w:asciiTheme="minorHAnsi" w:hAnsiTheme="minorHAnsi"/>
        </w:rPr>
        <w:t xml:space="preserve">Composite materials: automotive and aerospace </w:t>
      </w:r>
      <w:proofErr w:type="spellStart"/>
      <w:r w:rsidRPr="0010639C">
        <w:rPr>
          <w:rFonts w:asciiTheme="minorHAnsi" w:hAnsiTheme="minorHAnsi"/>
        </w:rPr>
        <w:t>prepreg</w:t>
      </w:r>
      <w:proofErr w:type="spellEnd"/>
      <w:r w:rsidRPr="0010639C">
        <w:rPr>
          <w:rFonts w:asciiTheme="minorHAnsi" w:hAnsiTheme="minorHAnsi"/>
        </w:rPr>
        <w:t xml:space="preserve"> materials, heat-resistant and high-toughness epoxy resin, resin transfer molding</w:t>
      </w:r>
    </w:p>
    <w:p w:rsidR="0010639C" w:rsidRDefault="0010639C" w:rsidP="0010639C">
      <w:pPr>
        <w:pStyle w:val="Web"/>
        <w:numPr>
          <w:ilvl w:val="0"/>
          <w:numId w:val="5"/>
        </w:numPr>
        <w:spacing w:before="0" w:beforeAutospacing="0" w:after="0" w:afterAutospacing="0" w:line="400" w:lineRule="exact"/>
        <w:rPr>
          <w:rFonts w:asciiTheme="minorHAnsi" w:hAnsiTheme="minorHAnsi" w:hint="eastAsia"/>
        </w:rPr>
      </w:pPr>
      <w:r w:rsidRPr="0010639C">
        <w:rPr>
          <w:rFonts w:asciiTheme="minorHAnsi" w:hAnsiTheme="minorHAnsi"/>
        </w:rPr>
        <w:t xml:space="preserve">Electronic packaging materials </w:t>
      </w:r>
    </w:p>
    <w:p w:rsidR="0010639C" w:rsidRDefault="0010639C" w:rsidP="0010639C">
      <w:pPr>
        <w:pStyle w:val="Web"/>
        <w:numPr>
          <w:ilvl w:val="0"/>
          <w:numId w:val="5"/>
        </w:numPr>
        <w:spacing w:before="0" w:beforeAutospacing="0" w:after="0" w:afterAutospacing="0" w:line="400" w:lineRule="exact"/>
        <w:rPr>
          <w:rFonts w:asciiTheme="minorHAnsi" w:hAnsiTheme="minorHAnsi" w:hint="eastAsia"/>
        </w:rPr>
      </w:pPr>
      <w:r w:rsidRPr="0010639C">
        <w:rPr>
          <w:rFonts w:asciiTheme="minorHAnsi" w:hAnsiTheme="minorHAnsi"/>
        </w:rPr>
        <w:t>High-performance engineering plastics</w:t>
      </w:r>
    </w:p>
    <w:p w:rsidR="0010639C" w:rsidRPr="0010639C" w:rsidRDefault="0010639C" w:rsidP="0010639C">
      <w:pPr>
        <w:pStyle w:val="Web"/>
        <w:numPr>
          <w:ilvl w:val="0"/>
          <w:numId w:val="5"/>
        </w:numPr>
        <w:spacing w:before="0" w:beforeAutospacing="0" w:after="0" w:afterAutospacing="0" w:line="400" w:lineRule="exact"/>
        <w:rPr>
          <w:rFonts w:asciiTheme="minorHAnsi" w:hAnsiTheme="minorHAnsi"/>
        </w:rPr>
      </w:pPr>
      <w:r w:rsidRPr="0010639C">
        <w:rPr>
          <w:rFonts w:asciiTheme="minorHAnsi" w:hAnsiTheme="minorHAnsi"/>
        </w:rPr>
        <w:t xml:space="preserve">Biomedical science and long-term care </w:t>
      </w:r>
    </w:p>
    <w:p w:rsidR="0010639C" w:rsidRPr="0010639C" w:rsidRDefault="0010639C" w:rsidP="0010639C">
      <w:pPr>
        <w:pStyle w:val="Web"/>
        <w:spacing w:before="0" w:beforeAutospacing="0" w:after="0" w:afterAutospacing="0" w:line="400" w:lineRule="exact"/>
        <w:rPr>
          <w:rFonts w:asciiTheme="minorHAnsi" w:hAnsiTheme="minorHAnsi"/>
        </w:rPr>
      </w:pPr>
    </w:p>
    <w:p w:rsidR="0010639C" w:rsidRPr="0010639C" w:rsidRDefault="0010639C" w:rsidP="0010639C">
      <w:pPr>
        <w:pStyle w:val="Web"/>
        <w:spacing w:before="0" w:beforeAutospacing="0" w:after="0" w:afterAutospacing="0" w:line="400" w:lineRule="exact"/>
        <w:rPr>
          <w:rFonts w:asciiTheme="minorHAnsi" w:hAnsiTheme="minorHAnsi"/>
          <w:b/>
        </w:rPr>
      </w:pPr>
      <w:r w:rsidRPr="0010639C">
        <w:rPr>
          <w:rFonts w:asciiTheme="minorHAnsi" w:hAnsiTheme="minorHAnsi"/>
          <w:b/>
        </w:rPr>
        <w:t xml:space="preserve">3. Application period: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The application period starts from the opening day of the first semester until October 15. The application period will be announced in advance by the College. </w:t>
      </w:r>
    </w:p>
    <w:p w:rsidR="0010639C" w:rsidRDefault="0010639C" w:rsidP="0010639C">
      <w:pPr>
        <w:pStyle w:val="Web"/>
        <w:spacing w:before="0" w:beforeAutospacing="0" w:after="0" w:afterAutospacing="0" w:line="400" w:lineRule="exact"/>
        <w:rPr>
          <w:rFonts w:asciiTheme="minorHAnsi" w:hAnsiTheme="minorHAnsi" w:hint="eastAsia"/>
        </w:rPr>
      </w:pPr>
    </w:p>
    <w:p w:rsidR="00A92B33" w:rsidRDefault="00A92B33" w:rsidP="0010639C">
      <w:pPr>
        <w:pStyle w:val="Web"/>
        <w:spacing w:before="0" w:beforeAutospacing="0" w:after="0" w:afterAutospacing="0" w:line="400" w:lineRule="exact"/>
        <w:rPr>
          <w:rFonts w:asciiTheme="minorHAnsi" w:hAnsiTheme="minorHAnsi" w:hint="eastAsia"/>
        </w:rPr>
      </w:pPr>
    </w:p>
    <w:p w:rsidR="00A92B33" w:rsidRPr="0010639C" w:rsidRDefault="00A92B33" w:rsidP="0010639C">
      <w:pPr>
        <w:pStyle w:val="Web"/>
        <w:spacing w:before="0" w:beforeAutospacing="0" w:after="0" w:afterAutospacing="0" w:line="400" w:lineRule="exact"/>
        <w:rPr>
          <w:rFonts w:asciiTheme="minorHAnsi" w:hAnsiTheme="minorHAnsi"/>
        </w:rPr>
      </w:pPr>
    </w:p>
    <w:p w:rsidR="0010639C" w:rsidRPr="0010639C" w:rsidRDefault="0010639C" w:rsidP="0010639C">
      <w:pPr>
        <w:pStyle w:val="Web"/>
        <w:spacing w:before="0" w:beforeAutospacing="0" w:after="0" w:afterAutospacing="0" w:line="400" w:lineRule="exact"/>
        <w:rPr>
          <w:rFonts w:asciiTheme="minorHAnsi" w:hAnsiTheme="minorHAnsi"/>
          <w:b/>
        </w:rPr>
      </w:pPr>
      <w:r w:rsidRPr="0010639C">
        <w:rPr>
          <w:rFonts w:asciiTheme="minorHAnsi" w:hAnsiTheme="minorHAnsi"/>
          <w:b/>
        </w:rPr>
        <w:lastRenderedPageBreak/>
        <w:t xml:space="preserve">4. Number of Recipients and Amount of Prize: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A maximum of five students will be awarded the scholarship each year, with each student receiving NT$180,000 (which will be distributed in two semesters). </w:t>
      </w:r>
    </w:p>
    <w:p w:rsidR="0010639C" w:rsidRPr="0010639C" w:rsidRDefault="0010639C" w:rsidP="0010639C">
      <w:pPr>
        <w:pStyle w:val="Web"/>
        <w:spacing w:before="0" w:beforeAutospacing="0" w:after="0" w:afterAutospacing="0" w:line="400" w:lineRule="exact"/>
        <w:rPr>
          <w:rFonts w:asciiTheme="minorHAnsi" w:hAnsiTheme="minorHAnsi"/>
        </w:rPr>
      </w:pPr>
    </w:p>
    <w:p w:rsidR="0010639C" w:rsidRPr="0010639C" w:rsidRDefault="0010639C" w:rsidP="0010639C">
      <w:pPr>
        <w:pStyle w:val="Web"/>
        <w:spacing w:before="0" w:beforeAutospacing="0" w:after="0" w:afterAutospacing="0" w:line="400" w:lineRule="exact"/>
        <w:rPr>
          <w:rFonts w:asciiTheme="minorHAnsi" w:hAnsiTheme="minorHAnsi"/>
          <w:b/>
        </w:rPr>
      </w:pPr>
      <w:r w:rsidRPr="0010639C">
        <w:rPr>
          <w:rFonts w:asciiTheme="minorHAnsi" w:hAnsiTheme="minorHAnsi"/>
          <w:b/>
        </w:rPr>
        <w:t xml:space="preserve">5. Application process: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Eligible applicants are required to submit the following documents and apply to the College during the application period: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(1) Application form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(2) Original copy of past academic transcripts (grade reports)</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(3) Recommendation letter from supervisor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(4) Autobiography essay</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(5) Publications in domestic and foreign journals and conferences, or other documents or reports which meet the review criterion (submitted in PDF format) </w:t>
      </w:r>
    </w:p>
    <w:p w:rsidR="0010639C" w:rsidRPr="0010639C" w:rsidRDefault="0010639C" w:rsidP="0010639C">
      <w:pPr>
        <w:pStyle w:val="Web"/>
        <w:spacing w:before="0" w:beforeAutospacing="0" w:after="0" w:afterAutospacing="0" w:line="400" w:lineRule="exact"/>
        <w:rPr>
          <w:rFonts w:asciiTheme="minorHAnsi" w:hAnsiTheme="minorHAnsi"/>
        </w:rPr>
      </w:pPr>
    </w:p>
    <w:p w:rsidR="0010639C" w:rsidRPr="0010639C" w:rsidRDefault="0010639C" w:rsidP="0010639C">
      <w:pPr>
        <w:pStyle w:val="Web"/>
        <w:spacing w:before="0" w:beforeAutospacing="0" w:after="0" w:afterAutospacing="0" w:line="400" w:lineRule="exact"/>
        <w:rPr>
          <w:rFonts w:asciiTheme="minorHAnsi" w:hAnsiTheme="minorHAnsi"/>
          <w:b/>
        </w:rPr>
      </w:pPr>
      <w:r w:rsidRPr="0010639C">
        <w:rPr>
          <w:rFonts w:asciiTheme="minorHAnsi" w:hAnsiTheme="minorHAnsi"/>
          <w:b/>
        </w:rPr>
        <w:t xml:space="preserve">6. Review process: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(1) First-stage preliminary review (written review):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Delegates from Wah Lee Group will first review the documents submitted by applicants.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(2) Second-stage review: </w:t>
      </w:r>
    </w:p>
    <w:p w:rsidR="0010639C" w:rsidRPr="0010639C" w:rsidRDefault="0010639C" w:rsidP="0010639C">
      <w:pPr>
        <w:pStyle w:val="Web"/>
        <w:spacing w:before="0" w:beforeAutospacing="0" w:after="0" w:afterAutospacing="0" w:line="400" w:lineRule="exact"/>
        <w:rPr>
          <w:rFonts w:asciiTheme="minorHAnsi" w:hAnsiTheme="minorHAnsi"/>
        </w:rPr>
      </w:pPr>
      <w:r w:rsidRPr="0010639C">
        <w:rPr>
          <w:rFonts w:asciiTheme="minorHAnsi" w:hAnsiTheme="minorHAnsi"/>
        </w:rPr>
        <w:t xml:space="preserve">Delegates from Wah Lee Group will be invited to attend the College’s Chairs Meeting for joint evaluation. </w:t>
      </w:r>
    </w:p>
    <w:p w:rsidR="0010639C" w:rsidRPr="0010639C" w:rsidRDefault="0010639C" w:rsidP="0010639C">
      <w:pPr>
        <w:pStyle w:val="Web"/>
        <w:spacing w:before="0" w:beforeAutospacing="0" w:after="0" w:afterAutospacing="0" w:line="400" w:lineRule="exact"/>
        <w:rPr>
          <w:rFonts w:asciiTheme="minorHAnsi" w:hAnsiTheme="minorHAnsi"/>
        </w:rPr>
      </w:pPr>
      <w:bookmarkStart w:id="0" w:name="_GoBack"/>
      <w:bookmarkEnd w:id="0"/>
    </w:p>
    <w:p w:rsidR="0010639C" w:rsidRPr="00930DE5" w:rsidRDefault="0010639C" w:rsidP="0010639C">
      <w:pPr>
        <w:pStyle w:val="Web"/>
        <w:spacing w:before="0" w:beforeAutospacing="0" w:after="0" w:afterAutospacing="0" w:line="400" w:lineRule="exact"/>
        <w:rPr>
          <w:rFonts w:asciiTheme="minorHAnsi" w:hAnsiTheme="minorHAnsi"/>
          <w:b/>
        </w:rPr>
      </w:pPr>
      <w:r w:rsidRPr="00930DE5">
        <w:rPr>
          <w:rFonts w:asciiTheme="minorHAnsi" w:hAnsiTheme="minorHAnsi"/>
          <w:b/>
        </w:rPr>
        <w:t xml:space="preserve">7. The guidelines are implemented after being stipulated or amended by the College’s Chairs Meeting. The scholarship donor representative can request for further revisions on an annual basis if necessary. </w:t>
      </w:r>
    </w:p>
    <w:p w:rsidR="0003164A" w:rsidRPr="0010639C" w:rsidRDefault="0003164A" w:rsidP="0010639C">
      <w:pPr>
        <w:spacing w:line="400" w:lineRule="exact"/>
        <w:rPr>
          <w:rFonts w:asciiTheme="minorHAnsi" w:hAnsiTheme="minorHAnsi"/>
        </w:rPr>
      </w:pPr>
    </w:p>
    <w:sectPr w:rsidR="0003164A" w:rsidRPr="0010639C" w:rsidSect="0010639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25662"/>
    <w:multiLevelType w:val="hybridMultilevel"/>
    <w:tmpl w:val="9B4C3AA8"/>
    <w:lvl w:ilvl="0" w:tplc="3B8605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F64124B"/>
    <w:multiLevelType w:val="hybridMultilevel"/>
    <w:tmpl w:val="FCB08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C04453"/>
    <w:multiLevelType w:val="hybridMultilevel"/>
    <w:tmpl w:val="DD6C32C2"/>
    <w:lvl w:ilvl="0" w:tplc="2D3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A94E87"/>
    <w:multiLevelType w:val="hybridMultilevel"/>
    <w:tmpl w:val="5EA8E8B4"/>
    <w:lvl w:ilvl="0" w:tplc="9A320CB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C40689B"/>
    <w:multiLevelType w:val="hybridMultilevel"/>
    <w:tmpl w:val="A4A4937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9C"/>
    <w:rsid w:val="0003164A"/>
    <w:rsid w:val="0010639C"/>
    <w:rsid w:val="00930DE5"/>
    <w:rsid w:val="00A92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9C"/>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0639C"/>
    <w:rPr>
      <w:sz w:val="18"/>
      <w:szCs w:val="18"/>
    </w:rPr>
  </w:style>
  <w:style w:type="paragraph" w:styleId="a4">
    <w:name w:val="annotation text"/>
    <w:basedOn w:val="a"/>
    <w:link w:val="a5"/>
    <w:uiPriority w:val="99"/>
    <w:unhideWhenUsed/>
    <w:rsid w:val="0010639C"/>
    <w:rPr>
      <w:rFonts w:eastAsia="標楷體"/>
      <w:kern w:val="0"/>
      <w:sz w:val="20"/>
      <w:szCs w:val="20"/>
      <w:lang w:val="x-none" w:eastAsia="x-none"/>
    </w:rPr>
  </w:style>
  <w:style w:type="character" w:customStyle="1" w:styleId="a5">
    <w:name w:val="註解文字 字元"/>
    <w:basedOn w:val="a0"/>
    <w:link w:val="a4"/>
    <w:uiPriority w:val="99"/>
    <w:rsid w:val="0010639C"/>
    <w:rPr>
      <w:rFonts w:ascii="Times New Roman" w:eastAsia="標楷體" w:hAnsi="Times New Roman" w:cs="Times New Roman"/>
      <w:kern w:val="0"/>
      <w:sz w:val="20"/>
      <w:szCs w:val="20"/>
      <w:lang w:val="x-none" w:eastAsia="x-none"/>
    </w:rPr>
  </w:style>
  <w:style w:type="paragraph" w:styleId="a6">
    <w:name w:val="Balloon Text"/>
    <w:basedOn w:val="a"/>
    <w:link w:val="a7"/>
    <w:uiPriority w:val="99"/>
    <w:semiHidden/>
    <w:unhideWhenUsed/>
    <w:rsid w:val="0010639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39C"/>
    <w:rPr>
      <w:rFonts w:asciiTheme="majorHAnsi" w:eastAsiaTheme="majorEastAsia" w:hAnsiTheme="majorHAnsi" w:cstheme="majorBidi"/>
      <w:sz w:val="18"/>
      <w:szCs w:val="18"/>
    </w:rPr>
  </w:style>
  <w:style w:type="paragraph" w:styleId="Web">
    <w:name w:val="Normal (Web)"/>
    <w:basedOn w:val="a"/>
    <w:uiPriority w:val="99"/>
    <w:semiHidden/>
    <w:unhideWhenUsed/>
    <w:rsid w:val="0010639C"/>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10639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9C"/>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10639C"/>
    <w:rPr>
      <w:sz w:val="18"/>
      <w:szCs w:val="18"/>
    </w:rPr>
  </w:style>
  <w:style w:type="paragraph" w:styleId="a4">
    <w:name w:val="annotation text"/>
    <w:basedOn w:val="a"/>
    <w:link w:val="a5"/>
    <w:uiPriority w:val="99"/>
    <w:unhideWhenUsed/>
    <w:rsid w:val="0010639C"/>
    <w:rPr>
      <w:rFonts w:eastAsia="標楷體"/>
      <w:kern w:val="0"/>
      <w:sz w:val="20"/>
      <w:szCs w:val="20"/>
      <w:lang w:val="x-none" w:eastAsia="x-none"/>
    </w:rPr>
  </w:style>
  <w:style w:type="character" w:customStyle="1" w:styleId="a5">
    <w:name w:val="註解文字 字元"/>
    <w:basedOn w:val="a0"/>
    <w:link w:val="a4"/>
    <w:uiPriority w:val="99"/>
    <w:rsid w:val="0010639C"/>
    <w:rPr>
      <w:rFonts w:ascii="Times New Roman" w:eastAsia="標楷體" w:hAnsi="Times New Roman" w:cs="Times New Roman"/>
      <w:kern w:val="0"/>
      <w:sz w:val="20"/>
      <w:szCs w:val="20"/>
      <w:lang w:val="x-none" w:eastAsia="x-none"/>
    </w:rPr>
  </w:style>
  <w:style w:type="paragraph" w:styleId="a6">
    <w:name w:val="Balloon Text"/>
    <w:basedOn w:val="a"/>
    <w:link w:val="a7"/>
    <w:uiPriority w:val="99"/>
    <w:semiHidden/>
    <w:unhideWhenUsed/>
    <w:rsid w:val="0010639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10639C"/>
    <w:rPr>
      <w:rFonts w:asciiTheme="majorHAnsi" w:eastAsiaTheme="majorEastAsia" w:hAnsiTheme="majorHAnsi" w:cstheme="majorBidi"/>
      <w:sz w:val="18"/>
      <w:szCs w:val="18"/>
    </w:rPr>
  </w:style>
  <w:style w:type="paragraph" w:styleId="Web">
    <w:name w:val="Normal (Web)"/>
    <w:basedOn w:val="a"/>
    <w:uiPriority w:val="99"/>
    <w:semiHidden/>
    <w:unhideWhenUsed/>
    <w:rsid w:val="0010639C"/>
    <w:pPr>
      <w:widowControl/>
      <w:spacing w:before="100" w:beforeAutospacing="1" w:after="100" w:afterAutospacing="1"/>
    </w:pPr>
    <w:rPr>
      <w:rFonts w:ascii="新細明體" w:hAnsi="新細明體" w:cs="新細明體"/>
      <w:kern w:val="0"/>
    </w:rPr>
  </w:style>
  <w:style w:type="paragraph" w:styleId="a8">
    <w:name w:val="List Paragraph"/>
    <w:basedOn w:val="a"/>
    <w:uiPriority w:val="34"/>
    <w:qFormat/>
    <w:rsid w:val="0010639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0986">
      <w:bodyDiv w:val="1"/>
      <w:marLeft w:val="0"/>
      <w:marRight w:val="0"/>
      <w:marTop w:val="0"/>
      <w:marBottom w:val="0"/>
      <w:divBdr>
        <w:top w:val="none" w:sz="0" w:space="0" w:color="auto"/>
        <w:left w:val="none" w:sz="0" w:space="0" w:color="auto"/>
        <w:bottom w:val="none" w:sz="0" w:space="0" w:color="auto"/>
        <w:right w:val="none" w:sz="0" w:space="0" w:color="auto"/>
      </w:divBdr>
    </w:div>
    <w:div w:id="14606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2018-06-29T02:23:00Z</dcterms:created>
  <dcterms:modified xsi:type="dcterms:W3CDTF">2018-06-29T02:48:00Z</dcterms:modified>
</cp:coreProperties>
</file>